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B" w:rsidRDefault="0002423F" w:rsidP="009E354F">
      <w:pPr>
        <w:spacing w:after="0" w:line="240" w:lineRule="auto"/>
        <w:ind w:left="-851" w:right="-154"/>
        <w:jc w:val="both"/>
        <w:rPr>
          <w:rFonts w:ascii="Maiandra GD" w:hAnsi="Maiandra GD"/>
          <w:sz w:val="28"/>
          <w:szCs w:val="28"/>
        </w:rPr>
      </w:pPr>
      <w:r w:rsidRPr="0002423F">
        <w:rPr>
          <w:rFonts w:ascii="Maiandra GD" w:hAnsi="Maiandra G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5pt;height:45.75pt" fillcolor="#c00000" strokecolor="red">
            <v:shadow color="#868686"/>
            <v:textpath style="font-family:&quot;Maiandra GD&quot;;v-text-kern:t" trim="t" fitpath="t" string="English Martyrs' Catholic Primary School Newsletter"/>
          </v:shape>
        </w:pict>
      </w:r>
    </w:p>
    <w:p w:rsidR="006D4E3D" w:rsidRDefault="0002423F" w:rsidP="009E354F">
      <w:pPr>
        <w:spacing w:after="0" w:line="240" w:lineRule="auto"/>
        <w:ind w:left="-709" w:right="-154"/>
        <w:jc w:val="both"/>
        <w:rPr>
          <w:rFonts w:ascii="Maiandra GD" w:hAnsi="Maiandra GD"/>
          <w:color w:val="FF6600"/>
          <w:sz w:val="28"/>
          <w:szCs w:val="28"/>
        </w:rPr>
      </w:pPr>
      <w:r w:rsidRPr="0002423F">
        <w:rPr>
          <w:noProof/>
        </w:rPr>
        <w:pict>
          <v:shape id="_x0000_s1032" type="#_x0000_t136" style="position:absolute;left:0;text-align:left;margin-left:52.8pt;margin-top:9.05pt;width:341.25pt;height:23.25pt;z-index:-251657216;mso-position-horizontal-relative:text;mso-position-vertical-relative:text;mso-width-relative:page;mso-height-relative:page" wrapcoords="285 0 -47 0 -47 2090 190 11148 190 16723 4367 20903 9210 20903 9732 20903 16141 20903 21647 16723 21600 0 285 0" fillcolor="#64104e" strokecolor="#64104e">
            <v:shadow color="#868686"/>
            <v:textpath style="font-family:&quot;Maiandra GD&quot;;font-size:28pt;v-text-kern:t" trim="t" fitpath="t" string="17th April 2015"/>
            <w10:wrap type="tight"/>
          </v:shape>
        </w:pict>
      </w:r>
      <w:r w:rsidR="003A28C4" w:rsidRPr="00E21A88">
        <w:rPr>
          <w:rFonts w:ascii="Maiandra GD" w:hAnsi="Maiandra GD"/>
          <w:color w:val="FF6600"/>
          <w:sz w:val="28"/>
          <w:szCs w:val="28"/>
        </w:rPr>
        <w:t xml:space="preserve">                 </w:t>
      </w:r>
    </w:p>
    <w:p w:rsidR="009E354F" w:rsidRDefault="009E354F" w:rsidP="009E354F">
      <w:pPr>
        <w:spacing w:after="0" w:line="240" w:lineRule="auto"/>
        <w:ind w:left="-709" w:right="-154"/>
        <w:jc w:val="center"/>
        <w:rPr>
          <w:rFonts w:ascii="Maiandra GD" w:hAnsi="Maiandra GD"/>
          <w:b/>
          <w:color w:val="000000" w:themeColor="text1"/>
          <w:sz w:val="28"/>
          <w:szCs w:val="28"/>
        </w:rPr>
      </w:pPr>
    </w:p>
    <w:p w:rsidR="00D453AD" w:rsidRPr="00025A34" w:rsidRDefault="006E45A3" w:rsidP="00F6195A">
      <w:pPr>
        <w:ind w:left="-993" w:right="-154"/>
        <w:jc w:val="both"/>
        <w:rPr>
          <w:rFonts w:ascii="Maiandra GD" w:hAnsi="Maiandra GD"/>
          <w:sz w:val="20"/>
          <w:szCs w:val="20"/>
        </w:rPr>
      </w:pPr>
      <w:r w:rsidRPr="00025A34">
        <w:rPr>
          <w:rFonts w:ascii="Maiandra GD" w:hAnsi="Maiandra GD"/>
          <w:sz w:val="20"/>
          <w:szCs w:val="20"/>
        </w:rPr>
        <w:t>D</w:t>
      </w:r>
      <w:r w:rsidR="007948E5" w:rsidRPr="00025A34">
        <w:rPr>
          <w:rFonts w:ascii="Maiandra GD" w:hAnsi="Maiandra GD"/>
          <w:sz w:val="20"/>
          <w:szCs w:val="20"/>
        </w:rPr>
        <w:t>ear Parent / Carers,</w:t>
      </w:r>
    </w:p>
    <w:p w:rsidR="00D453AD" w:rsidRPr="00025A34" w:rsidRDefault="00D453AD" w:rsidP="00F6195A">
      <w:pPr>
        <w:ind w:left="-993" w:right="-154"/>
        <w:jc w:val="both"/>
        <w:rPr>
          <w:rFonts w:ascii="Maiandra GD" w:hAnsi="Maiandra GD"/>
          <w:sz w:val="20"/>
          <w:szCs w:val="20"/>
        </w:rPr>
      </w:pPr>
      <w:r w:rsidRPr="00025A34">
        <w:rPr>
          <w:rFonts w:ascii="Maiandra GD" w:hAnsi="Maiandra GD"/>
          <w:sz w:val="20"/>
          <w:szCs w:val="20"/>
        </w:rPr>
        <w:t xml:space="preserve">Welcome back after the Easter holidays, I hope you all had a wonderful break and enjoyed the lovely weather.  </w:t>
      </w:r>
    </w:p>
    <w:tbl>
      <w:tblPr>
        <w:tblStyle w:val="TableGrid"/>
        <w:tblpPr w:leftFromText="180" w:rightFromText="180" w:vertAnchor="page" w:horzAnchor="page" w:tblpX="598" w:tblpY="4906"/>
        <w:tblW w:w="7196" w:type="dxa"/>
        <w:tblLook w:val="04A0"/>
      </w:tblPr>
      <w:tblGrid>
        <w:gridCol w:w="1668"/>
        <w:gridCol w:w="1275"/>
        <w:gridCol w:w="1276"/>
        <w:gridCol w:w="1701"/>
        <w:gridCol w:w="1276"/>
      </w:tblGrid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t>20</w:t>
            </w:r>
            <w:r w:rsidRPr="00025A34">
              <w:rPr>
                <w:sz w:val="20"/>
                <w:szCs w:val="20"/>
              </w:rPr>
              <w:t>14</w:t>
            </w:r>
          </w:p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Class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b/>
                <w:color w:val="FF9900"/>
                <w:sz w:val="20"/>
                <w:szCs w:val="20"/>
              </w:rPr>
            </w:pPr>
            <w:r w:rsidRPr="00025A34">
              <w:rPr>
                <w:b/>
                <w:color w:val="FF9900"/>
                <w:sz w:val="20"/>
                <w:szCs w:val="20"/>
              </w:rPr>
              <w:t>Gold</w:t>
            </w:r>
          </w:p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Award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b/>
                <w:color w:val="777777"/>
                <w:sz w:val="20"/>
                <w:szCs w:val="20"/>
              </w:rPr>
            </w:pPr>
            <w:r w:rsidRPr="00025A34">
              <w:rPr>
                <w:b/>
                <w:color w:val="777777"/>
                <w:sz w:val="20"/>
                <w:szCs w:val="20"/>
              </w:rPr>
              <w:t>Silver</w:t>
            </w:r>
          </w:p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Award</w:t>
            </w:r>
          </w:p>
        </w:tc>
        <w:tc>
          <w:tcPr>
            <w:tcW w:w="1701" w:type="dxa"/>
          </w:tcPr>
          <w:p w:rsidR="00E4567D" w:rsidRPr="00E4567D" w:rsidRDefault="00E4567D" w:rsidP="00E4567D">
            <w:pPr>
              <w:spacing w:after="0" w:line="240" w:lineRule="auto"/>
              <w:jc w:val="center"/>
              <w:rPr>
                <w:b/>
                <w:color w:val="333300"/>
                <w:sz w:val="20"/>
                <w:szCs w:val="20"/>
              </w:rPr>
            </w:pPr>
            <w:r w:rsidRPr="00E4567D">
              <w:rPr>
                <w:b/>
                <w:color w:val="333300"/>
                <w:sz w:val="20"/>
                <w:szCs w:val="20"/>
              </w:rPr>
              <w:t>Bronze</w:t>
            </w:r>
          </w:p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Award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Total Awards Per Class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6D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11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6C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12</w:t>
            </w:r>
          </w:p>
        </w:tc>
      </w:tr>
      <w:tr w:rsidR="00E4567D" w:rsidRPr="00EB59BC" w:rsidTr="00157B7F">
        <w:trPr>
          <w:trHeight w:val="260"/>
        </w:trPr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5T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21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5H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18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4F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18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4W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22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3B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30</w:t>
            </w:r>
          </w:p>
        </w:tc>
      </w:tr>
      <w:tr w:rsidR="00E4567D" w:rsidRPr="00EB59BC" w:rsidTr="00157B7F">
        <w:tc>
          <w:tcPr>
            <w:tcW w:w="1668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3R</w:t>
            </w:r>
          </w:p>
        </w:tc>
        <w:tc>
          <w:tcPr>
            <w:tcW w:w="1275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567D" w:rsidRPr="00025A34" w:rsidRDefault="00E4567D" w:rsidP="00E45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A34">
              <w:rPr>
                <w:sz w:val="20"/>
                <w:szCs w:val="20"/>
              </w:rPr>
              <w:t>17</w:t>
            </w:r>
          </w:p>
        </w:tc>
      </w:tr>
    </w:tbl>
    <w:p w:rsidR="00D453AD" w:rsidRPr="00025A34" w:rsidRDefault="00D453AD" w:rsidP="00025A34">
      <w:pPr>
        <w:ind w:left="-993"/>
        <w:jc w:val="both"/>
        <w:rPr>
          <w:rFonts w:ascii="Maiandra GD" w:hAnsi="Maiandra GD"/>
          <w:sz w:val="20"/>
          <w:szCs w:val="20"/>
        </w:rPr>
      </w:pPr>
      <w:r w:rsidRPr="00025A34">
        <w:rPr>
          <w:rFonts w:ascii="Maiandra GD" w:hAnsi="Maiandra GD"/>
          <w:b/>
          <w:sz w:val="20"/>
          <w:szCs w:val="20"/>
          <w:u w:val="single"/>
        </w:rPr>
        <w:t>Reading Passports</w:t>
      </w:r>
      <w:r w:rsidRPr="00025A34">
        <w:rPr>
          <w:rFonts w:ascii="Maiandra GD" w:hAnsi="Maiandra GD"/>
          <w:sz w:val="20"/>
          <w:szCs w:val="20"/>
        </w:rPr>
        <w:t xml:space="preserve"> - The summer term reading passport has been given to children and this term Year 2 will be able to undertake the challenge together with children in Key Stage Two.  Please encourage your child to complete as much of the reading passport as possible, they need a minimum of three activities to secure a bronze certificate.  Let’s try to reach our target so that all children achieve a reading passport.  Remember to sign off the activities once they have been completed and ensure books are returned to school so that other children can read them too.  </w:t>
      </w:r>
      <w:r w:rsidR="00E4567D">
        <w:rPr>
          <w:rFonts w:ascii="Maiandra GD" w:hAnsi="Maiandra GD"/>
          <w:sz w:val="20"/>
          <w:szCs w:val="20"/>
        </w:rPr>
        <w:t>Have a look at t</w:t>
      </w:r>
      <w:r w:rsidRPr="00025A34">
        <w:rPr>
          <w:rFonts w:ascii="Maiandra GD" w:hAnsi="Maiandra GD"/>
          <w:sz w:val="20"/>
          <w:szCs w:val="20"/>
        </w:rPr>
        <w:t>he results of last term’s reading passpo</w:t>
      </w:r>
      <w:r w:rsidR="00E4567D">
        <w:rPr>
          <w:rFonts w:ascii="Maiandra GD" w:hAnsi="Maiandra GD"/>
          <w:sz w:val="20"/>
          <w:szCs w:val="20"/>
        </w:rPr>
        <w:t>rts.</w:t>
      </w:r>
    </w:p>
    <w:p w:rsidR="00D453AD" w:rsidRPr="00D453AD" w:rsidRDefault="002C6100" w:rsidP="00F6195A">
      <w:pPr>
        <w:ind w:left="-993" w:right="-15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2540</wp:posOffset>
            </wp:positionV>
            <wp:extent cx="1823085" cy="1552575"/>
            <wp:effectExtent l="19050" t="0" r="5715" b="0"/>
            <wp:wrapTight wrapText="bothSides">
              <wp:wrapPolygon edited="0">
                <wp:start x="-226" y="0"/>
                <wp:lineTo x="-226" y="21467"/>
                <wp:lineTo x="21668" y="21467"/>
                <wp:lineTo x="21668" y="0"/>
                <wp:lineTo x="-226" y="0"/>
              </wp:wrapPolygon>
            </wp:wrapTight>
            <wp:docPr id="1" name="Picture 0" descr="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A34" w:rsidRDefault="007948E5" w:rsidP="00B175EE">
      <w:pPr>
        <w:ind w:left="-993" w:right="-154"/>
        <w:jc w:val="both"/>
        <w:rPr>
          <w:rFonts w:ascii="Maiandra GD" w:hAnsi="Maiandra GD"/>
          <w:b/>
          <w:sz w:val="20"/>
          <w:szCs w:val="20"/>
          <w:u w:val="single"/>
        </w:rPr>
      </w:pPr>
      <w:r w:rsidRPr="00B045B3">
        <w:rPr>
          <w:rFonts w:ascii="Maiandra GD" w:hAnsi="Maiandra GD"/>
          <w:sz w:val="20"/>
          <w:szCs w:val="20"/>
        </w:rPr>
        <w:t xml:space="preserve"> </w:t>
      </w: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</w:p>
    <w:p w:rsidR="002C6100" w:rsidRDefault="002C6100" w:rsidP="002C6100">
      <w:pPr>
        <w:pStyle w:val="NormalWeb"/>
        <w:rPr>
          <w:rFonts w:ascii="Maiandra GD" w:hAnsi="Maiandra GD"/>
          <w:b/>
          <w:sz w:val="20"/>
          <w:szCs w:val="20"/>
          <w:u w:val="single"/>
        </w:rPr>
      </w:pPr>
      <w:r>
        <w:rPr>
          <w:rFonts w:ascii="Maiandra GD" w:hAnsi="Maiandra GD"/>
          <w:b/>
          <w:noProof/>
          <w:sz w:val="20"/>
          <w:szCs w:val="20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95250</wp:posOffset>
            </wp:positionV>
            <wp:extent cx="1085850" cy="1000125"/>
            <wp:effectExtent l="19050" t="0" r="0" b="0"/>
            <wp:wrapTight wrapText="bothSides">
              <wp:wrapPolygon edited="0">
                <wp:start x="-379" y="0"/>
                <wp:lineTo x="-379" y="21394"/>
                <wp:lineTo x="21600" y="21394"/>
                <wp:lineTo x="21600" y="0"/>
                <wp:lineTo x="-379" y="0"/>
              </wp:wrapPolygon>
            </wp:wrapTight>
            <wp:docPr id="6" name="Picture 4" descr="Image result for math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A34" w:rsidRDefault="00025A34" w:rsidP="002C6100">
      <w:pPr>
        <w:pStyle w:val="NormalWeb"/>
        <w:ind w:left="-993"/>
        <w:rPr>
          <w:rFonts w:ascii="Maiandra GD" w:hAnsi="Maiandra GD" w:cs="Tahoma"/>
          <w:color w:val="000000"/>
          <w:sz w:val="20"/>
          <w:szCs w:val="20"/>
        </w:rPr>
      </w:pPr>
      <w:r w:rsidRPr="00582DB3">
        <w:rPr>
          <w:rFonts w:ascii="Maiandra GD" w:hAnsi="Maiandra GD"/>
          <w:b/>
          <w:sz w:val="20"/>
          <w:szCs w:val="20"/>
          <w:u w:val="single"/>
        </w:rPr>
        <w:t xml:space="preserve">Number Bonds/Timetables Competition winners - </w:t>
      </w:r>
      <w:r w:rsidRPr="00582DB3">
        <w:rPr>
          <w:rFonts w:ascii="Maiandra GD" w:hAnsi="Maiandra GD"/>
          <w:sz w:val="20"/>
          <w:szCs w:val="20"/>
        </w:rPr>
        <w:t>This</w:t>
      </w:r>
      <w:r w:rsidRPr="00582DB3">
        <w:rPr>
          <w:rFonts w:ascii="Maiandra GD" w:hAnsi="Maiandra GD" w:cs="Tahoma"/>
          <w:color w:val="000000"/>
          <w:sz w:val="20"/>
          <w:szCs w:val="20"/>
        </w:rPr>
        <w:t xml:space="preserve"> week children competed against each other in their recall of their number bonds and times tables in Y1-5</w:t>
      </w:r>
      <w:r w:rsidR="00582DB3">
        <w:rPr>
          <w:rFonts w:ascii="Maiandra GD" w:hAnsi="Maiandra GD" w:cs="Tahoma"/>
          <w:color w:val="000000"/>
          <w:sz w:val="20"/>
          <w:szCs w:val="20"/>
        </w:rPr>
        <w:t>.</w:t>
      </w:r>
      <w:r w:rsidRPr="00582DB3">
        <w:rPr>
          <w:rFonts w:ascii="Maiandra GD" w:hAnsi="Maiandra GD" w:cs="Tahoma"/>
          <w:b/>
          <w:color w:val="FF0000"/>
          <w:sz w:val="20"/>
          <w:szCs w:val="20"/>
        </w:rPr>
        <w:t xml:space="preserve"> </w:t>
      </w:r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Well done to all the competitors.  The winners are:  </w:t>
      </w:r>
      <w:proofErr w:type="spellStart"/>
      <w:r w:rsidRPr="00E4567D">
        <w:rPr>
          <w:rFonts w:ascii="Maiandra GD" w:hAnsi="Maiandra GD" w:cs="Tahoma"/>
          <w:b/>
          <w:color w:val="C00000"/>
          <w:sz w:val="20"/>
          <w:szCs w:val="20"/>
        </w:rPr>
        <w:t>Okemena</w:t>
      </w:r>
      <w:proofErr w:type="spellEnd"/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 1D, </w:t>
      </w:r>
      <w:proofErr w:type="spellStart"/>
      <w:r w:rsidRPr="00E4567D">
        <w:rPr>
          <w:rFonts w:ascii="Maiandra GD" w:hAnsi="Maiandra GD" w:cs="Tahoma"/>
          <w:b/>
          <w:color w:val="C00000"/>
          <w:sz w:val="20"/>
          <w:szCs w:val="20"/>
        </w:rPr>
        <w:t>Fareed</w:t>
      </w:r>
      <w:proofErr w:type="spellEnd"/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 2S, </w:t>
      </w:r>
      <w:proofErr w:type="spellStart"/>
      <w:r w:rsidRPr="00E4567D">
        <w:rPr>
          <w:rFonts w:ascii="Maiandra GD" w:hAnsi="Maiandra GD" w:cs="Tahoma"/>
          <w:b/>
          <w:color w:val="C00000"/>
          <w:sz w:val="20"/>
          <w:szCs w:val="20"/>
        </w:rPr>
        <w:t>Ozana</w:t>
      </w:r>
      <w:proofErr w:type="spellEnd"/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 3R, </w:t>
      </w:r>
      <w:proofErr w:type="spellStart"/>
      <w:r w:rsidRPr="00E4567D">
        <w:rPr>
          <w:rFonts w:ascii="Maiandra GD" w:hAnsi="Maiandra GD" w:cs="Tahoma"/>
          <w:b/>
          <w:color w:val="C00000"/>
          <w:sz w:val="20"/>
          <w:szCs w:val="20"/>
        </w:rPr>
        <w:t>Dagem</w:t>
      </w:r>
      <w:proofErr w:type="spellEnd"/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 4F, </w:t>
      </w:r>
      <w:proofErr w:type="spellStart"/>
      <w:proofErr w:type="gramStart"/>
      <w:r w:rsidRPr="00E4567D">
        <w:rPr>
          <w:rFonts w:ascii="Maiandra GD" w:hAnsi="Maiandra GD" w:cs="Tahoma"/>
          <w:b/>
          <w:color w:val="C00000"/>
          <w:sz w:val="20"/>
          <w:szCs w:val="20"/>
        </w:rPr>
        <w:t>Alfie</w:t>
      </w:r>
      <w:proofErr w:type="spellEnd"/>
      <w:proofErr w:type="gramEnd"/>
      <w:r w:rsidRPr="00E4567D">
        <w:rPr>
          <w:rFonts w:ascii="Maiandra GD" w:hAnsi="Maiandra GD" w:cs="Tahoma"/>
          <w:b/>
          <w:color w:val="C00000"/>
          <w:sz w:val="20"/>
          <w:szCs w:val="20"/>
        </w:rPr>
        <w:t xml:space="preserve"> 5T.</w:t>
      </w:r>
      <w:r w:rsidR="002C6100">
        <w:rPr>
          <w:rFonts w:ascii="Maiandra GD" w:hAnsi="Maiandra GD" w:cs="Tahoma"/>
          <w:b/>
          <w:color w:val="C00000"/>
          <w:sz w:val="20"/>
          <w:szCs w:val="20"/>
        </w:rPr>
        <w:t xml:space="preserve">   </w:t>
      </w:r>
      <w:r w:rsidRPr="00025A34">
        <w:rPr>
          <w:rStyle w:val="Strong"/>
          <w:rFonts w:ascii="Maiandra GD" w:hAnsi="Maiandra GD" w:cs="Tahoma"/>
          <w:color w:val="000000"/>
          <w:sz w:val="20"/>
          <w:szCs w:val="20"/>
          <w:u w:val="single"/>
        </w:rPr>
        <w:t>Key Mental Calculation facts -</w:t>
      </w:r>
      <w:r w:rsidRPr="00025A34">
        <w:rPr>
          <w:rStyle w:val="Strong"/>
          <w:rFonts w:ascii="Maiandra GD" w:hAnsi="Maiandra GD" w:cs="Tahoma"/>
          <w:color w:val="000000"/>
          <w:sz w:val="20"/>
          <w:szCs w:val="20"/>
        </w:rPr>
        <w:t xml:space="preserve"> </w:t>
      </w:r>
      <w:r w:rsidRPr="00025A34">
        <w:rPr>
          <w:rFonts w:ascii="Maiandra GD" w:hAnsi="Maiandra GD" w:cs="Tahoma"/>
          <w:color w:val="000000"/>
          <w:sz w:val="20"/>
          <w:szCs w:val="20"/>
        </w:rPr>
        <w:t>Each half term children are encouraged to learn key maths facts with their parents at home.  This half term the focus for Years 1 - 3 is telling the time, Year 4 should be learning the multiplication and division facts for the 7 times table, Year 5 recalling square numbers and their square roots and Year 6 converting between decimals, fractions and percentages.   Good Luck!</w:t>
      </w:r>
    </w:p>
    <w:p w:rsidR="00FD0240" w:rsidRDefault="00FD0240" w:rsidP="00E4567D">
      <w:pPr>
        <w:pStyle w:val="NormalWeb"/>
        <w:ind w:left="-993"/>
        <w:jc w:val="both"/>
        <w:rPr>
          <w:rFonts w:ascii="Maiandra GD" w:hAnsi="Maiandra GD" w:cs="Tahoma"/>
          <w:b/>
          <w:color w:val="000000"/>
          <w:sz w:val="20"/>
          <w:szCs w:val="20"/>
          <w:u w:val="single"/>
        </w:rPr>
      </w:pPr>
    </w:p>
    <w:tbl>
      <w:tblPr>
        <w:tblStyle w:val="MediumGrid1-Accent4"/>
        <w:tblW w:w="10916" w:type="dxa"/>
        <w:tblInd w:w="-743" w:type="dxa"/>
        <w:tblLook w:val="04A0"/>
      </w:tblPr>
      <w:tblGrid>
        <w:gridCol w:w="5246"/>
        <w:gridCol w:w="5670"/>
      </w:tblGrid>
      <w:tr w:rsidR="00FD0240" w:rsidTr="00FD0240">
        <w:trPr>
          <w:cnfStyle w:val="100000000000"/>
        </w:trPr>
        <w:tc>
          <w:tcPr>
            <w:cnfStyle w:val="001000000000"/>
            <w:tcW w:w="10916" w:type="dxa"/>
            <w:gridSpan w:val="2"/>
          </w:tcPr>
          <w:p w:rsidR="00FD0240" w:rsidRPr="00FD20D1" w:rsidRDefault="00FD0240" w:rsidP="00FD0240">
            <w:pPr>
              <w:pStyle w:val="ListParagraph"/>
              <w:spacing w:line="240" w:lineRule="auto"/>
              <w:ind w:left="0" w:right="-23"/>
              <w:jc w:val="center"/>
              <w:rPr>
                <w:b w:val="0"/>
              </w:rPr>
            </w:pPr>
            <w:r>
              <w:rPr>
                <w:b w:val="0"/>
              </w:rPr>
              <w:t xml:space="preserve">Educational Visits </w:t>
            </w:r>
          </w:p>
        </w:tc>
      </w:tr>
      <w:tr w:rsidR="00FD0240" w:rsidTr="00C9685E">
        <w:trPr>
          <w:cnfStyle w:val="000000100000"/>
          <w:trHeight w:val="475"/>
        </w:trPr>
        <w:tc>
          <w:tcPr>
            <w:cnfStyle w:val="001000000000"/>
            <w:tcW w:w="5246" w:type="dxa"/>
          </w:tcPr>
          <w:p w:rsidR="00B175EE" w:rsidRPr="00B175EE" w:rsidRDefault="00B175EE" w:rsidP="00B175EE">
            <w:pPr>
              <w:pStyle w:val="ListParagraph"/>
              <w:spacing w:line="240" w:lineRule="auto"/>
              <w:ind w:left="0" w:right="-23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Nursery – 16</w:t>
            </w:r>
            <w:r w:rsidRPr="00B175E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– Peace Gardens – Local walk </w:t>
            </w:r>
          </w:p>
          <w:p w:rsidR="00B175EE" w:rsidRDefault="00FD0240" w:rsidP="00B175EE">
            <w:pPr>
              <w:pStyle w:val="ListParagraph"/>
              <w:spacing w:line="240" w:lineRule="auto"/>
              <w:ind w:left="0"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classes – </w:t>
            </w:r>
            <w:r w:rsidR="00B175EE">
              <w:rPr>
                <w:sz w:val="20"/>
                <w:szCs w:val="20"/>
              </w:rPr>
              <w:t>16</w:t>
            </w:r>
            <w:r w:rsidR="00B175EE" w:rsidRPr="00B175EE">
              <w:rPr>
                <w:sz w:val="20"/>
                <w:szCs w:val="20"/>
                <w:vertAlign w:val="superscript"/>
              </w:rPr>
              <w:t>th</w:t>
            </w:r>
            <w:r w:rsidR="00C9685E">
              <w:rPr>
                <w:sz w:val="20"/>
                <w:szCs w:val="20"/>
              </w:rPr>
              <w:t xml:space="preserve"> April – </w:t>
            </w:r>
            <w:proofErr w:type="spellStart"/>
            <w:r w:rsidR="00C9685E">
              <w:rPr>
                <w:sz w:val="20"/>
                <w:szCs w:val="20"/>
              </w:rPr>
              <w:t>Gruffalo</w:t>
            </w:r>
            <w:proofErr w:type="spellEnd"/>
            <w:r w:rsidR="00C9685E">
              <w:rPr>
                <w:sz w:val="20"/>
                <w:szCs w:val="20"/>
              </w:rPr>
              <w:t xml:space="preserve"> Tea Party  and the </w:t>
            </w:r>
          </w:p>
          <w:p w:rsidR="00FD0240" w:rsidRPr="009E1994" w:rsidRDefault="00FD0240" w:rsidP="00B175EE">
            <w:pPr>
              <w:pStyle w:val="ListParagraph"/>
              <w:spacing w:line="240" w:lineRule="auto"/>
              <w:ind w:left="0"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Aquarium – 21</w:t>
            </w:r>
            <w:r w:rsidRPr="00FD024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</w:t>
            </w:r>
          </w:p>
        </w:tc>
        <w:tc>
          <w:tcPr>
            <w:tcW w:w="5670" w:type="dxa"/>
          </w:tcPr>
          <w:p w:rsidR="00FD0240" w:rsidRPr="00FD0240" w:rsidRDefault="00FD0240" w:rsidP="003C2067">
            <w:pPr>
              <w:pStyle w:val="ListParagraph"/>
              <w:spacing w:line="240" w:lineRule="auto"/>
              <w:ind w:left="0" w:right="-23"/>
              <w:cnfStyle w:val="000000100000"/>
              <w:rPr>
                <w:b/>
                <w:sz w:val="20"/>
                <w:szCs w:val="20"/>
              </w:rPr>
            </w:pPr>
            <w:r w:rsidRPr="00FD0240">
              <w:rPr>
                <w:b/>
                <w:sz w:val="20"/>
                <w:szCs w:val="20"/>
              </w:rPr>
              <w:t>Year 1D – Surrey Docks Farm</w:t>
            </w:r>
            <w:r w:rsidR="003C2067">
              <w:rPr>
                <w:b/>
                <w:sz w:val="20"/>
                <w:szCs w:val="20"/>
              </w:rPr>
              <w:t xml:space="preserve"> - </w:t>
            </w:r>
            <w:r w:rsidRPr="00FD0240">
              <w:rPr>
                <w:b/>
                <w:sz w:val="20"/>
                <w:szCs w:val="20"/>
              </w:rPr>
              <w:t>20</w:t>
            </w:r>
            <w:r w:rsidRPr="00FD0240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FD0240">
              <w:rPr>
                <w:b/>
                <w:sz w:val="20"/>
                <w:szCs w:val="20"/>
              </w:rPr>
              <w:t>April</w:t>
            </w:r>
          </w:p>
        </w:tc>
      </w:tr>
      <w:tr w:rsidR="00FD0240" w:rsidTr="00C9685E">
        <w:trPr>
          <w:trHeight w:val="619"/>
        </w:trPr>
        <w:tc>
          <w:tcPr>
            <w:cnfStyle w:val="001000000000"/>
            <w:tcW w:w="5246" w:type="dxa"/>
          </w:tcPr>
          <w:p w:rsidR="00FD0240" w:rsidRPr="00FD0240" w:rsidRDefault="00FD0240" w:rsidP="00FD0240">
            <w:pPr>
              <w:pStyle w:val="ListParagraph"/>
              <w:spacing w:line="240" w:lineRule="auto"/>
              <w:ind w:left="0" w:right="-23"/>
              <w:rPr>
                <w:sz w:val="20"/>
                <w:szCs w:val="20"/>
              </w:rPr>
            </w:pPr>
            <w:r w:rsidRPr="00FD0240">
              <w:rPr>
                <w:sz w:val="20"/>
                <w:szCs w:val="20"/>
              </w:rPr>
              <w:t>Year 2 – Southbank as part of their literacy topic – 16</w:t>
            </w:r>
            <w:r w:rsidRPr="00FD0240">
              <w:rPr>
                <w:sz w:val="20"/>
                <w:szCs w:val="20"/>
                <w:vertAlign w:val="superscript"/>
              </w:rPr>
              <w:t>th</w:t>
            </w:r>
            <w:r w:rsidRPr="00FD0240">
              <w:rPr>
                <w:sz w:val="20"/>
                <w:szCs w:val="20"/>
              </w:rPr>
              <w:t xml:space="preserve"> April </w:t>
            </w:r>
            <w:r w:rsidR="00C9685E">
              <w:rPr>
                <w:sz w:val="20"/>
                <w:szCs w:val="20"/>
              </w:rPr>
              <w:t>and 23</w:t>
            </w:r>
            <w:r w:rsidR="00C9685E" w:rsidRPr="00C9685E">
              <w:rPr>
                <w:sz w:val="20"/>
                <w:szCs w:val="20"/>
                <w:vertAlign w:val="superscript"/>
              </w:rPr>
              <w:t>rd</w:t>
            </w:r>
            <w:r w:rsidR="00C9685E">
              <w:rPr>
                <w:sz w:val="20"/>
                <w:szCs w:val="20"/>
              </w:rPr>
              <w:t xml:space="preserve"> April</w:t>
            </w:r>
          </w:p>
          <w:p w:rsidR="00FD0240" w:rsidRPr="00FD0240" w:rsidRDefault="00FD0240" w:rsidP="00FD0240">
            <w:pPr>
              <w:pStyle w:val="ListParagraph"/>
              <w:spacing w:line="240" w:lineRule="auto"/>
              <w:ind w:left="0" w:right="-23"/>
              <w:rPr>
                <w:sz w:val="20"/>
                <w:szCs w:val="20"/>
              </w:rPr>
            </w:pPr>
            <w:r w:rsidRPr="00FD0240">
              <w:rPr>
                <w:sz w:val="20"/>
                <w:szCs w:val="20"/>
              </w:rPr>
              <w:t>Unicorn Theatre – Velveteen Rabbit – 17</w:t>
            </w:r>
            <w:r w:rsidRPr="00FD0240">
              <w:rPr>
                <w:sz w:val="20"/>
                <w:szCs w:val="20"/>
                <w:vertAlign w:val="superscript"/>
              </w:rPr>
              <w:t>th</w:t>
            </w:r>
            <w:r w:rsidRPr="00FD0240">
              <w:rPr>
                <w:sz w:val="20"/>
                <w:szCs w:val="20"/>
              </w:rPr>
              <w:t xml:space="preserve"> and 24</w:t>
            </w:r>
            <w:r w:rsidRPr="00FD0240">
              <w:rPr>
                <w:sz w:val="20"/>
                <w:szCs w:val="20"/>
                <w:vertAlign w:val="superscript"/>
              </w:rPr>
              <w:t>th</w:t>
            </w:r>
            <w:r w:rsidRPr="00FD024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5670" w:type="dxa"/>
          </w:tcPr>
          <w:p w:rsidR="00FD0240" w:rsidRPr="00FD0240" w:rsidRDefault="00FD0240" w:rsidP="00FD0240">
            <w:pPr>
              <w:pStyle w:val="ListParagraph"/>
              <w:spacing w:line="240" w:lineRule="auto"/>
              <w:ind w:left="0" w:right="-23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 – Southwark Cathedral – Christian Symbols – 24</w:t>
            </w:r>
            <w:r w:rsidRPr="00FD024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  </w:t>
            </w:r>
          </w:p>
        </w:tc>
      </w:tr>
    </w:tbl>
    <w:p w:rsidR="00FD0240" w:rsidRDefault="00FD0240" w:rsidP="00E4567D">
      <w:pPr>
        <w:pStyle w:val="NormalWeb"/>
        <w:ind w:left="-993"/>
        <w:jc w:val="both"/>
        <w:rPr>
          <w:rFonts w:ascii="Maiandra GD" w:hAnsi="Maiandra GD" w:cs="Tahoma"/>
          <w:b/>
          <w:color w:val="000000"/>
          <w:sz w:val="20"/>
          <w:szCs w:val="20"/>
          <w:u w:val="single"/>
        </w:rPr>
      </w:pPr>
    </w:p>
    <w:p w:rsidR="00E4567D" w:rsidRDefault="00E4567D" w:rsidP="00025A34">
      <w:pPr>
        <w:pStyle w:val="ListParagraph"/>
        <w:spacing w:after="0"/>
        <w:ind w:left="-993"/>
        <w:rPr>
          <w:rFonts w:ascii="Maiandra GD" w:hAnsi="Maiandra GD"/>
          <w:sz w:val="20"/>
          <w:szCs w:val="20"/>
        </w:rPr>
      </w:pPr>
      <w:r w:rsidRPr="00E4567D">
        <w:rPr>
          <w:rFonts w:ascii="Maiandra GD" w:hAnsi="Maiandra GD"/>
          <w:b/>
          <w:sz w:val="20"/>
          <w:szCs w:val="20"/>
          <w:u w:val="single"/>
        </w:rPr>
        <w:t>Home work and study</w:t>
      </w:r>
      <w:r>
        <w:rPr>
          <w:rFonts w:ascii="Maiandra GD" w:hAnsi="Maiandra GD"/>
          <w:sz w:val="20"/>
          <w:szCs w:val="20"/>
        </w:rPr>
        <w:t xml:space="preserve"> – This term is a very important one for year 2 and Year 6, in preparation for their SAT’s we ask that you help encourage your child to study at home as much as possible. </w:t>
      </w:r>
    </w:p>
    <w:p w:rsidR="00FD0240" w:rsidRDefault="00FD0240" w:rsidP="00025A34">
      <w:pPr>
        <w:pStyle w:val="ListParagraph"/>
        <w:spacing w:after="0"/>
        <w:ind w:left="-993"/>
        <w:rPr>
          <w:rFonts w:ascii="Maiandra GD" w:hAnsi="Maiandra GD"/>
          <w:sz w:val="20"/>
          <w:szCs w:val="20"/>
        </w:rPr>
      </w:pPr>
    </w:p>
    <w:p w:rsidR="008A6F47" w:rsidRDefault="00B175EE" w:rsidP="008A6F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Maiandra GD" w:hAnsi="Maiandra GD"/>
          <w:color w:val="000000"/>
          <w:sz w:val="20"/>
          <w:szCs w:val="20"/>
        </w:rPr>
      </w:pPr>
      <w:r>
        <w:rPr>
          <w:rFonts w:ascii="Maiandra GD" w:hAnsi="Maiandra GD"/>
          <w:b/>
          <w:noProof/>
          <w:color w:val="000000"/>
          <w:sz w:val="20"/>
          <w:szCs w:val="20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55880</wp:posOffset>
            </wp:positionV>
            <wp:extent cx="857250" cy="809625"/>
            <wp:effectExtent l="19050" t="0" r="0" b="0"/>
            <wp:wrapTight wrapText="bothSides">
              <wp:wrapPolygon edited="0">
                <wp:start x="-480" y="0"/>
                <wp:lineTo x="-480" y="21346"/>
                <wp:lineTo x="21600" y="21346"/>
                <wp:lineTo x="21600" y="0"/>
                <wp:lineTo x="-480" y="0"/>
              </wp:wrapPolygon>
            </wp:wrapTight>
            <wp:docPr id="11" name="Picture 9" descr="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240" w:rsidRPr="008A6F47">
        <w:rPr>
          <w:rFonts w:ascii="Maiandra GD" w:hAnsi="Maiandra GD"/>
          <w:b/>
          <w:color w:val="000000"/>
          <w:sz w:val="20"/>
          <w:szCs w:val="20"/>
          <w:u w:val="single"/>
        </w:rPr>
        <w:t xml:space="preserve">School Uniform -  </w:t>
      </w:r>
      <w:r w:rsidR="008A6F47" w:rsidRPr="008A6F47">
        <w:rPr>
          <w:rFonts w:ascii="Maiandra GD" w:hAnsi="Maiandra GD"/>
          <w:color w:val="000000"/>
          <w:sz w:val="20"/>
          <w:szCs w:val="20"/>
        </w:rPr>
        <w:t xml:space="preserve"> We hope this lovely sunny weather continues</w:t>
      </w:r>
      <w:proofErr w:type="gramStart"/>
      <w:r w:rsidR="008A6F47" w:rsidRPr="008A6F47">
        <w:rPr>
          <w:rFonts w:ascii="Maiandra GD" w:hAnsi="Maiandra GD"/>
          <w:color w:val="000000"/>
          <w:sz w:val="20"/>
          <w:szCs w:val="20"/>
        </w:rPr>
        <w:t>,</w:t>
      </w:r>
      <w:proofErr w:type="gramEnd"/>
      <w:r w:rsidR="008A6F47" w:rsidRPr="008A6F47">
        <w:rPr>
          <w:rFonts w:ascii="Maiandra GD" w:hAnsi="Maiandra GD"/>
          <w:color w:val="000000"/>
          <w:sz w:val="20"/>
          <w:szCs w:val="20"/>
        </w:rPr>
        <w:t xml:space="preserve"> summer uniform consists of a yellow or blue summer dress, no shorter than the knee. White/grey socks and black shoes. Please do not encourage your child to wear winter tights under their dresses.  </w:t>
      </w:r>
      <w:r w:rsidR="00FD0240" w:rsidRPr="008A6F47">
        <w:rPr>
          <w:rFonts w:ascii="Maiandra GD" w:hAnsi="Maiandra GD"/>
          <w:color w:val="000000"/>
          <w:sz w:val="20"/>
          <w:szCs w:val="20"/>
        </w:rPr>
        <w:t>Children should be in full correct uniform with the school bag.  Skirts need to be no longer than the knee and plain coloured coats to be worn</w:t>
      </w:r>
      <w:r w:rsidR="008A6F47" w:rsidRPr="008A6F47">
        <w:rPr>
          <w:rFonts w:ascii="Maiandra GD" w:hAnsi="Maiandra GD"/>
          <w:color w:val="000000"/>
          <w:sz w:val="20"/>
          <w:szCs w:val="20"/>
        </w:rPr>
        <w:t xml:space="preserve"> when necessary</w:t>
      </w:r>
      <w:r w:rsidR="00FD0240" w:rsidRPr="008A6F47">
        <w:rPr>
          <w:rFonts w:ascii="Maiandra GD" w:hAnsi="Maiandra GD"/>
          <w:color w:val="000000"/>
          <w:sz w:val="20"/>
          <w:szCs w:val="20"/>
        </w:rPr>
        <w:t xml:space="preserve">. No jewellery should be worn except small plain studs, no coloured sparkly earrings.  </w:t>
      </w:r>
      <w:r w:rsidR="008A6F47" w:rsidRPr="008A6F47">
        <w:rPr>
          <w:rFonts w:ascii="Maiandra GD" w:hAnsi="Maiandra GD"/>
          <w:color w:val="000000"/>
          <w:sz w:val="20"/>
          <w:szCs w:val="20"/>
        </w:rPr>
        <w:t xml:space="preserve">- </w:t>
      </w:r>
      <w:r w:rsidR="008A6F47" w:rsidRPr="008A6F47">
        <w:rPr>
          <w:rFonts w:ascii="Maiandra GD" w:hAnsi="Maiandra GD" w:cs="Segoe Print"/>
          <w:sz w:val="20"/>
          <w:szCs w:val="20"/>
          <w:lang w:eastAsia="en-GB"/>
        </w:rPr>
        <w:t xml:space="preserve">No beads in children’s hair and only have dark coloured hair extensions.  </w:t>
      </w:r>
      <w:r w:rsidR="00FD0240" w:rsidRPr="008A6F47">
        <w:rPr>
          <w:rFonts w:ascii="Maiandra GD" w:hAnsi="Maiandra GD"/>
          <w:color w:val="000000"/>
          <w:sz w:val="20"/>
          <w:szCs w:val="20"/>
        </w:rPr>
        <w:t>P.E. uniform is plain white t-shirt with black or navy blue plain shorts</w:t>
      </w:r>
      <w:r w:rsidR="008A6F47" w:rsidRPr="008A6F47">
        <w:rPr>
          <w:rFonts w:ascii="Maiandra GD" w:hAnsi="Maiandra GD"/>
          <w:color w:val="000000"/>
          <w:sz w:val="20"/>
          <w:szCs w:val="20"/>
        </w:rPr>
        <w:t xml:space="preserve">.  If your child is in the incorrect uniform a telephone call will be made to parents. </w:t>
      </w:r>
    </w:p>
    <w:p w:rsidR="008A6F47" w:rsidRDefault="008A6F47" w:rsidP="008A6F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Maiandra GD" w:hAnsi="Maiandra GD"/>
          <w:sz w:val="20"/>
          <w:szCs w:val="20"/>
        </w:rPr>
      </w:pPr>
    </w:p>
    <w:p w:rsidR="00157B7F" w:rsidRPr="00157B7F" w:rsidRDefault="00157B7F" w:rsidP="008A6F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Maiandra GD" w:hAnsi="Maiandra GD"/>
          <w:sz w:val="20"/>
          <w:szCs w:val="20"/>
        </w:rPr>
      </w:pPr>
      <w:r w:rsidRPr="00157B7F">
        <w:rPr>
          <w:rFonts w:ascii="Maiandra GD" w:hAnsi="Maiandra GD"/>
          <w:b/>
          <w:sz w:val="20"/>
          <w:szCs w:val="20"/>
          <w:u w:val="single"/>
        </w:rPr>
        <w:t>Year 5 parents</w:t>
      </w:r>
      <w:r>
        <w:rPr>
          <w:rFonts w:ascii="Maiandra GD" w:hAnsi="Maiandra GD"/>
          <w:sz w:val="20"/>
          <w:szCs w:val="20"/>
        </w:rPr>
        <w:t xml:space="preserve"> – Parents are invited to attend a</w:t>
      </w:r>
      <w:r w:rsidR="00431F02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>meeting on 22</w:t>
      </w:r>
      <w:r w:rsidRPr="00157B7F">
        <w:rPr>
          <w:rFonts w:ascii="Maiandra GD" w:hAnsi="Maiandra GD"/>
          <w:sz w:val="20"/>
          <w:szCs w:val="20"/>
          <w:vertAlign w:val="superscript"/>
        </w:rPr>
        <w:t>nd</w:t>
      </w:r>
      <w:r w:rsidR="00431F02">
        <w:rPr>
          <w:rFonts w:ascii="Maiandra GD" w:hAnsi="Maiandra GD"/>
          <w:sz w:val="20"/>
          <w:szCs w:val="20"/>
        </w:rPr>
        <w:t xml:space="preserve"> April at 3.</w:t>
      </w:r>
      <w:r>
        <w:rPr>
          <w:rFonts w:ascii="Maiandra GD" w:hAnsi="Maiandra GD"/>
          <w:sz w:val="20"/>
          <w:szCs w:val="20"/>
        </w:rPr>
        <w:t xml:space="preserve">15pm to discuss the trip to </w:t>
      </w:r>
      <w:proofErr w:type="spellStart"/>
      <w:r>
        <w:rPr>
          <w:rFonts w:ascii="Maiandra GD" w:hAnsi="Maiandra GD"/>
          <w:sz w:val="20"/>
          <w:szCs w:val="20"/>
        </w:rPr>
        <w:t>Belguim</w:t>
      </w:r>
      <w:proofErr w:type="spellEnd"/>
      <w:r>
        <w:rPr>
          <w:rFonts w:ascii="Maiandra GD" w:hAnsi="Maiandra GD"/>
          <w:sz w:val="20"/>
          <w:szCs w:val="20"/>
        </w:rPr>
        <w:t xml:space="preserve"> War Memorial</w:t>
      </w:r>
      <w:r w:rsidR="00431F02">
        <w:rPr>
          <w:rFonts w:ascii="Maiandra GD" w:hAnsi="Maiandra GD"/>
          <w:sz w:val="20"/>
          <w:szCs w:val="20"/>
        </w:rPr>
        <w:t xml:space="preserve"> in September</w:t>
      </w:r>
      <w:r>
        <w:rPr>
          <w:rFonts w:ascii="Maiandra GD" w:hAnsi="Maiandra GD"/>
          <w:sz w:val="20"/>
          <w:szCs w:val="20"/>
        </w:rPr>
        <w:t>.</w:t>
      </w:r>
    </w:p>
    <w:p w:rsidR="00025A34" w:rsidRDefault="00C9685E" w:rsidP="008A6F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3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  <w:u w:val="single"/>
        </w:rPr>
        <w:t xml:space="preserve">New Teacher </w:t>
      </w:r>
      <w:r>
        <w:rPr>
          <w:rFonts w:ascii="Maiandra GD" w:hAnsi="Maiandra GD"/>
          <w:sz w:val="20"/>
          <w:szCs w:val="20"/>
        </w:rPr>
        <w:t xml:space="preserve">- Welcome to Mr Smith, our </w:t>
      </w:r>
      <w:proofErr w:type="gramStart"/>
      <w:r>
        <w:rPr>
          <w:rFonts w:ascii="Maiandra GD" w:hAnsi="Maiandra GD"/>
          <w:sz w:val="20"/>
          <w:szCs w:val="20"/>
        </w:rPr>
        <w:t>new year</w:t>
      </w:r>
      <w:proofErr w:type="gramEnd"/>
      <w:r>
        <w:rPr>
          <w:rFonts w:ascii="Maiandra GD" w:hAnsi="Maiandra GD"/>
          <w:sz w:val="20"/>
          <w:szCs w:val="20"/>
        </w:rPr>
        <w:t xml:space="preserve"> 1 teacher.</w:t>
      </w:r>
      <w:r w:rsidR="00157B7F">
        <w:rPr>
          <w:rFonts w:ascii="Maiandra GD" w:hAnsi="Maiandra GD"/>
          <w:sz w:val="20"/>
          <w:szCs w:val="20"/>
        </w:rPr>
        <w:t xml:space="preserve">  </w:t>
      </w:r>
      <w:r w:rsidR="008A6F47" w:rsidRPr="008A6F47">
        <w:rPr>
          <w:rFonts w:ascii="Maiandra GD" w:hAnsi="Maiandra GD"/>
          <w:b/>
          <w:sz w:val="20"/>
          <w:szCs w:val="20"/>
          <w:u w:val="single"/>
        </w:rPr>
        <w:t>Good Bye and Good Luck –</w:t>
      </w:r>
      <w:r w:rsidR="008A6F47">
        <w:rPr>
          <w:rFonts w:ascii="Maiandra GD" w:hAnsi="Maiandra GD"/>
          <w:sz w:val="20"/>
          <w:szCs w:val="20"/>
        </w:rPr>
        <w:t xml:space="preserve">Ms Munenge </w:t>
      </w:r>
      <w:r w:rsidR="00B175EE">
        <w:rPr>
          <w:rFonts w:ascii="Maiandra GD" w:hAnsi="Maiandra GD"/>
          <w:sz w:val="20"/>
          <w:szCs w:val="20"/>
        </w:rPr>
        <w:t xml:space="preserve">who </w:t>
      </w:r>
      <w:r w:rsidR="008A6F47">
        <w:rPr>
          <w:rFonts w:ascii="Maiandra GD" w:hAnsi="Maiandra GD"/>
          <w:sz w:val="20"/>
          <w:szCs w:val="20"/>
        </w:rPr>
        <w:t xml:space="preserve">will be going on maternity leave this week.  We wish her all the best and look forward to a visit with her new baby. </w:t>
      </w:r>
    </w:p>
    <w:p w:rsidR="00025A34" w:rsidRDefault="00025A34" w:rsidP="00C55D62">
      <w:pPr>
        <w:pStyle w:val="ListParagraph"/>
        <w:spacing w:after="0"/>
        <w:ind w:left="-993"/>
        <w:jc w:val="center"/>
        <w:rPr>
          <w:rFonts w:ascii="Maiandra GD" w:hAnsi="Maiandra GD"/>
          <w:b/>
          <w:sz w:val="20"/>
          <w:szCs w:val="20"/>
        </w:rPr>
      </w:pPr>
    </w:p>
    <w:p w:rsidR="00B045B3" w:rsidRDefault="00B045B3" w:rsidP="002C6100">
      <w:pPr>
        <w:pStyle w:val="ListParagraph"/>
        <w:spacing w:after="0" w:line="240" w:lineRule="auto"/>
        <w:ind w:left="-993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God Bless</w:t>
      </w:r>
    </w:p>
    <w:p w:rsidR="00290900" w:rsidRPr="00B045B3" w:rsidRDefault="00D95BE3" w:rsidP="002C6100">
      <w:pPr>
        <w:pStyle w:val="ListParagraph"/>
        <w:spacing w:after="0" w:line="240" w:lineRule="auto"/>
        <w:ind w:left="-993"/>
        <w:jc w:val="center"/>
        <w:rPr>
          <w:rFonts w:ascii="Maiandra GD" w:hAnsi="Maiandra GD"/>
          <w:b/>
          <w:sz w:val="20"/>
          <w:szCs w:val="20"/>
        </w:rPr>
      </w:pPr>
      <w:r w:rsidRPr="00B045B3">
        <w:rPr>
          <w:rFonts w:ascii="Maiandra GD" w:hAnsi="Maiandra GD"/>
          <w:b/>
          <w:sz w:val="20"/>
          <w:szCs w:val="20"/>
        </w:rPr>
        <w:t>Mrs Appah</w:t>
      </w:r>
    </w:p>
    <w:sectPr w:rsidR="00290900" w:rsidRPr="00B045B3" w:rsidSect="002C6100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59"/>
    <w:rsid w:val="00015A23"/>
    <w:rsid w:val="000200E7"/>
    <w:rsid w:val="0002423F"/>
    <w:rsid w:val="00025A34"/>
    <w:rsid w:val="00051EBF"/>
    <w:rsid w:val="00053589"/>
    <w:rsid w:val="0006344F"/>
    <w:rsid w:val="00076A38"/>
    <w:rsid w:val="00090BEC"/>
    <w:rsid w:val="0009797F"/>
    <w:rsid w:val="000B4773"/>
    <w:rsid w:val="000D061A"/>
    <w:rsid w:val="000D72E6"/>
    <w:rsid w:val="00124A90"/>
    <w:rsid w:val="001312ED"/>
    <w:rsid w:val="00133CFB"/>
    <w:rsid w:val="00136D9A"/>
    <w:rsid w:val="0014613D"/>
    <w:rsid w:val="00150867"/>
    <w:rsid w:val="00152092"/>
    <w:rsid w:val="00157B7F"/>
    <w:rsid w:val="00160FD7"/>
    <w:rsid w:val="001A7437"/>
    <w:rsid w:val="001A75BB"/>
    <w:rsid w:val="001C40B2"/>
    <w:rsid w:val="001C789C"/>
    <w:rsid w:val="001C7BFB"/>
    <w:rsid w:val="001D503E"/>
    <w:rsid w:val="001D62EA"/>
    <w:rsid w:val="001E48DC"/>
    <w:rsid w:val="002000D5"/>
    <w:rsid w:val="0021601A"/>
    <w:rsid w:val="00254222"/>
    <w:rsid w:val="00260D8D"/>
    <w:rsid w:val="00266F89"/>
    <w:rsid w:val="00290900"/>
    <w:rsid w:val="002B5696"/>
    <w:rsid w:val="002B6017"/>
    <w:rsid w:val="002C6100"/>
    <w:rsid w:val="002D6BC2"/>
    <w:rsid w:val="003123A5"/>
    <w:rsid w:val="00321F45"/>
    <w:rsid w:val="00324815"/>
    <w:rsid w:val="00333184"/>
    <w:rsid w:val="003475FC"/>
    <w:rsid w:val="003709CF"/>
    <w:rsid w:val="0039576C"/>
    <w:rsid w:val="003A09D7"/>
    <w:rsid w:val="003A28C4"/>
    <w:rsid w:val="003B5FEB"/>
    <w:rsid w:val="003C2067"/>
    <w:rsid w:val="003C541C"/>
    <w:rsid w:val="003D02A6"/>
    <w:rsid w:val="003E20D0"/>
    <w:rsid w:val="003F4BD4"/>
    <w:rsid w:val="00431F02"/>
    <w:rsid w:val="00465709"/>
    <w:rsid w:val="00477B39"/>
    <w:rsid w:val="00495A05"/>
    <w:rsid w:val="004A05C5"/>
    <w:rsid w:val="004A6361"/>
    <w:rsid w:val="004C310F"/>
    <w:rsid w:val="004E2EC1"/>
    <w:rsid w:val="00506131"/>
    <w:rsid w:val="00513C22"/>
    <w:rsid w:val="00524E49"/>
    <w:rsid w:val="0053568C"/>
    <w:rsid w:val="0053574B"/>
    <w:rsid w:val="00556D80"/>
    <w:rsid w:val="00566975"/>
    <w:rsid w:val="005750BF"/>
    <w:rsid w:val="00582DB3"/>
    <w:rsid w:val="005B15C4"/>
    <w:rsid w:val="005F5234"/>
    <w:rsid w:val="005F5EDF"/>
    <w:rsid w:val="00641D4D"/>
    <w:rsid w:val="006502E9"/>
    <w:rsid w:val="006557D3"/>
    <w:rsid w:val="00655EEE"/>
    <w:rsid w:val="006626BA"/>
    <w:rsid w:val="00683059"/>
    <w:rsid w:val="0069349A"/>
    <w:rsid w:val="006C7ED7"/>
    <w:rsid w:val="006D4E3D"/>
    <w:rsid w:val="006E45A3"/>
    <w:rsid w:val="006F4D12"/>
    <w:rsid w:val="007248A5"/>
    <w:rsid w:val="00735123"/>
    <w:rsid w:val="007515E8"/>
    <w:rsid w:val="00793E2B"/>
    <w:rsid w:val="007948E5"/>
    <w:rsid w:val="007A0168"/>
    <w:rsid w:val="007A43C2"/>
    <w:rsid w:val="00804327"/>
    <w:rsid w:val="008344D7"/>
    <w:rsid w:val="00875D0A"/>
    <w:rsid w:val="00880BD4"/>
    <w:rsid w:val="00884D69"/>
    <w:rsid w:val="00897CBC"/>
    <w:rsid w:val="008A04A0"/>
    <w:rsid w:val="008A6F47"/>
    <w:rsid w:val="008D170E"/>
    <w:rsid w:val="008D56CA"/>
    <w:rsid w:val="00922688"/>
    <w:rsid w:val="0092579E"/>
    <w:rsid w:val="00935B02"/>
    <w:rsid w:val="00943741"/>
    <w:rsid w:val="00963C52"/>
    <w:rsid w:val="00977F1B"/>
    <w:rsid w:val="0099712B"/>
    <w:rsid w:val="009B0B6D"/>
    <w:rsid w:val="009B1E27"/>
    <w:rsid w:val="009E1994"/>
    <w:rsid w:val="009E354F"/>
    <w:rsid w:val="00A14A38"/>
    <w:rsid w:val="00A439D2"/>
    <w:rsid w:val="00A45507"/>
    <w:rsid w:val="00A90875"/>
    <w:rsid w:val="00A95AAF"/>
    <w:rsid w:val="00AB4588"/>
    <w:rsid w:val="00AD22FD"/>
    <w:rsid w:val="00AD3798"/>
    <w:rsid w:val="00AF224F"/>
    <w:rsid w:val="00B045B3"/>
    <w:rsid w:val="00B0633B"/>
    <w:rsid w:val="00B175EE"/>
    <w:rsid w:val="00B324F7"/>
    <w:rsid w:val="00B672B2"/>
    <w:rsid w:val="00B8438B"/>
    <w:rsid w:val="00B8473C"/>
    <w:rsid w:val="00B84F37"/>
    <w:rsid w:val="00BC6EA5"/>
    <w:rsid w:val="00BD53B1"/>
    <w:rsid w:val="00BF5423"/>
    <w:rsid w:val="00C16B10"/>
    <w:rsid w:val="00C45340"/>
    <w:rsid w:val="00C518C1"/>
    <w:rsid w:val="00C55D62"/>
    <w:rsid w:val="00C9000B"/>
    <w:rsid w:val="00C9685E"/>
    <w:rsid w:val="00C97B72"/>
    <w:rsid w:val="00CA1E83"/>
    <w:rsid w:val="00CB2F62"/>
    <w:rsid w:val="00CC4EDF"/>
    <w:rsid w:val="00CE6B74"/>
    <w:rsid w:val="00CF1E64"/>
    <w:rsid w:val="00CF4FDF"/>
    <w:rsid w:val="00D453AD"/>
    <w:rsid w:val="00D6766E"/>
    <w:rsid w:val="00D93604"/>
    <w:rsid w:val="00D95BE3"/>
    <w:rsid w:val="00D95D04"/>
    <w:rsid w:val="00D97FDA"/>
    <w:rsid w:val="00DD44A4"/>
    <w:rsid w:val="00DE31AD"/>
    <w:rsid w:val="00DF364E"/>
    <w:rsid w:val="00E01A50"/>
    <w:rsid w:val="00E21A88"/>
    <w:rsid w:val="00E25B58"/>
    <w:rsid w:val="00E26114"/>
    <w:rsid w:val="00E4567D"/>
    <w:rsid w:val="00E56B7F"/>
    <w:rsid w:val="00E64895"/>
    <w:rsid w:val="00E65333"/>
    <w:rsid w:val="00E67BFF"/>
    <w:rsid w:val="00E750EC"/>
    <w:rsid w:val="00E973F8"/>
    <w:rsid w:val="00EA3957"/>
    <w:rsid w:val="00EC0885"/>
    <w:rsid w:val="00EE2D8D"/>
    <w:rsid w:val="00EF075B"/>
    <w:rsid w:val="00F056D4"/>
    <w:rsid w:val="00F16AD4"/>
    <w:rsid w:val="00F27140"/>
    <w:rsid w:val="00F445E2"/>
    <w:rsid w:val="00F47DEB"/>
    <w:rsid w:val="00F51BD9"/>
    <w:rsid w:val="00F56B09"/>
    <w:rsid w:val="00F6195A"/>
    <w:rsid w:val="00F74EBB"/>
    <w:rsid w:val="00F944A5"/>
    <w:rsid w:val="00FC6D02"/>
    <w:rsid w:val="00FD0240"/>
    <w:rsid w:val="00FD20D1"/>
    <w:rsid w:val="00FD4608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ru v:ext="edit" colors="#64104e"/>
      <o:colormenu v:ext="edit" fillcolor="#64104e" strokecolor="#6410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MediumGrid1-Accent1">
    <w:name w:val="Medium Grid 1 Accent 1"/>
    <w:basedOn w:val="TableNormal"/>
    <w:uiPriority w:val="67"/>
    <w:rsid w:val="00FD20D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7A43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locked/>
    <w:rsid w:val="00025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imgres?imgurl=http://math.phillipmartin.info/math_ordinal_numbers_m.gif&amp;imgrefurl=http://math.phillipmartin.info/home_numbers_01.htm&amp;h=276&amp;w=250&amp;tbnid=9g8rOnjaMMiUJM:&amp;zoom=1&amp;docid=qnWEiJ2Q-N9KsM&amp;hl=en&amp;ei=NM3dVJa5NM_Uaoy8gIgC&amp;tbm=isch&amp;ved=0CD8QMyg3MDc4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0034-241B-4876-929D-AF3F6363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NJohnstone</cp:lastModifiedBy>
  <cp:revision>7</cp:revision>
  <cp:lastPrinted>2015-04-17T09:44:00Z</cp:lastPrinted>
  <dcterms:created xsi:type="dcterms:W3CDTF">2015-04-16T10:36:00Z</dcterms:created>
  <dcterms:modified xsi:type="dcterms:W3CDTF">2015-04-17T10:19:00Z</dcterms:modified>
</cp:coreProperties>
</file>