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74" w:rsidRPr="00881BA1" w:rsidRDefault="00881BA1">
      <w:pPr>
        <w:rPr>
          <w:rFonts w:ascii="Arial" w:hAnsi="Arial" w:cs="Arial"/>
          <w:b/>
          <w:sz w:val="28"/>
          <w:szCs w:val="28"/>
          <w:u w:val="single"/>
        </w:rPr>
      </w:pPr>
      <w:r w:rsidRPr="00881BA1">
        <w:rPr>
          <w:rFonts w:ascii="Arial" w:hAnsi="Arial" w:cs="Arial"/>
          <w:b/>
          <w:sz w:val="28"/>
          <w:szCs w:val="28"/>
          <w:u w:val="single"/>
        </w:rPr>
        <w:t>English Martyrs R.C. Primary</w:t>
      </w:r>
    </w:p>
    <w:p w:rsidR="00881BA1" w:rsidRDefault="00881BA1">
      <w:pPr>
        <w:rPr>
          <w:rFonts w:ascii="Arial" w:hAnsi="Arial" w:cs="Arial"/>
          <w:b/>
          <w:sz w:val="28"/>
          <w:szCs w:val="28"/>
          <w:u w:val="single"/>
        </w:rPr>
      </w:pPr>
      <w:r w:rsidRPr="00881BA1">
        <w:rPr>
          <w:rFonts w:ascii="Arial" w:hAnsi="Arial" w:cs="Arial"/>
          <w:b/>
          <w:sz w:val="28"/>
          <w:szCs w:val="28"/>
          <w:u w:val="single"/>
        </w:rPr>
        <w:t xml:space="preserve">Pupil Premium Spend – </w:t>
      </w:r>
      <w:r>
        <w:rPr>
          <w:rFonts w:ascii="Arial" w:hAnsi="Arial" w:cs="Arial"/>
          <w:b/>
          <w:sz w:val="28"/>
          <w:szCs w:val="28"/>
          <w:u w:val="single"/>
        </w:rPr>
        <w:t>Impact on o</w:t>
      </w:r>
      <w:r w:rsidRPr="00881BA1">
        <w:rPr>
          <w:rFonts w:ascii="Arial" w:hAnsi="Arial" w:cs="Arial"/>
          <w:b/>
          <w:sz w:val="28"/>
          <w:szCs w:val="28"/>
          <w:u w:val="single"/>
        </w:rPr>
        <w:t xml:space="preserve">utcomes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s</w:t>
      </w:r>
      <w:r w:rsidRPr="00881BA1">
        <w:rPr>
          <w:rFonts w:ascii="Arial" w:hAnsi="Arial" w:cs="Arial"/>
          <w:b/>
          <w:sz w:val="28"/>
          <w:szCs w:val="28"/>
          <w:u w:val="single"/>
        </w:rPr>
        <w:t>tatement  for</w:t>
      </w:r>
      <w:r w:rsidR="00B573DA" w:rsidRPr="00881BA1">
        <w:rPr>
          <w:rFonts w:ascii="Arial" w:hAnsi="Arial" w:cs="Arial"/>
          <w:b/>
          <w:sz w:val="28"/>
          <w:szCs w:val="28"/>
          <w:u w:val="single"/>
        </w:rPr>
        <w:t>20</w:t>
      </w:r>
      <w:r w:rsidRPr="00881BA1">
        <w:rPr>
          <w:rFonts w:ascii="Arial" w:hAnsi="Arial" w:cs="Arial"/>
          <w:b/>
          <w:sz w:val="28"/>
          <w:szCs w:val="28"/>
          <w:u w:val="single"/>
        </w:rPr>
        <w:t>13</w:t>
      </w:r>
      <w:proofErr w:type="gramEnd"/>
      <w:r w:rsidRPr="00881BA1">
        <w:rPr>
          <w:rFonts w:ascii="Arial" w:hAnsi="Arial" w:cs="Arial"/>
          <w:b/>
          <w:sz w:val="28"/>
          <w:szCs w:val="28"/>
          <w:u w:val="single"/>
        </w:rPr>
        <w:t>/14</w:t>
      </w:r>
    </w:p>
    <w:p w:rsidR="00B573DA" w:rsidRPr="00881BA1" w:rsidRDefault="00881BA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Key Stage 2:</w:t>
      </w:r>
    </w:p>
    <w:tbl>
      <w:tblPr>
        <w:tblStyle w:val="LightGrid-Accent1"/>
        <w:tblW w:w="10031" w:type="dxa"/>
        <w:tblLayout w:type="fixed"/>
        <w:tblLook w:val="04A0"/>
      </w:tblPr>
      <w:tblGrid>
        <w:gridCol w:w="2376"/>
        <w:gridCol w:w="1701"/>
        <w:gridCol w:w="1843"/>
        <w:gridCol w:w="1701"/>
        <w:gridCol w:w="2410"/>
      </w:tblGrid>
      <w:tr w:rsidR="00AD20AA" w:rsidRPr="002E171F" w:rsidTr="00EA7307">
        <w:trPr>
          <w:cnfStyle w:val="100000000000"/>
        </w:trPr>
        <w:tc>
          <w:tcPr>
            <w:cnfStyle w:val="001000000000"/>
            <w:tcW w:w="2376" w:type="dxa"/>
          </w:tcPr>
          <w:p w:rsidR="00AD20AA" w:rsidRPr="00853CD0" w:rsidRDefault="00AD20AA" w:rsidP="004A1441">
            <w:pPr>
              <w:rPr>
                <w:rFonts w:ascii="Arial" w:hAnsi="Arial" w:cs="Arial"/>
                <w:sz w:val="22"/>
                <w:szCs w:val="22"/>
              </w:rPr>
            </w:pPr>
            <w:r w:rsidRPr="00853CD0">
              <w:rPr>
                <w:rFonts w:ascii="Arial" w:hAnsi="Arial" w:cs="Arial"/>
                <w:sz w:val="22"/>
                <w:szCs w:val="22"/>
              </w:rPr>
              <w:t>YEAR 6</w:t>
            </w:r>
          </w:p>
        </w:tc>
        <w:tc>
          <w:tcPr>
            <w:tcW w:w="1701" w:type="dxa"/>
          </w:tcPr>
          <w:p w:rsidR="00AD20AA" w:rsidRPr="002E171F" w:rsidRDefault="00AD20AA" w:rsidP="004A1441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Reading</w:t>
            </w:r>
          </w:p>
        </w:tc>
        <w:tc>
          <w:tcPr>
            <w:tcW w:w="1843" w:type="dxa"/>
          </w:tcPr>
          <w:p w:rsidR="00AD20AA" w:rsidRPr="002E171F" w:rsidRDefault="00AD20AA" w:rsidP="004A1441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Writing</w:t>
            </w:r>
          </w:p>
        </w:tc>
        <w:tc>
          <w:tcPr>
            <w:tcW w:w="1701" w:type="dxa"/>
          </w:tcPr>
          <w:p w:rsidR="00AD20AA" w:rsidRPr="002E171F" w:rsidRDefault="00AD20AA" w:rsidP="004A1441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Math</w:t>
            </w:r>
            <w:r w:rsidR="001F58F8">
              <w:rPr>
                <w:rFonts w:ascii="Arial" w:hAnsi="Arial" w:cs="Arial"/>
                <w:sz w:val="22"/>
                <w:szCs w:val="22"/>
              </w:rPr>
              <w:t>ematic</w:t>
            </w:r>
            <w:r w:rsidRPr="002E171F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2410" w:type="dxa"/>
          </w:tcPr>
          <w:p w:rsidR="00EA7307" w:rsidRPr="002E171F" w:rsidRDefault="00EA7307" w:rsidP="00EA7307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English </w:t>
            </w:r>
            <w:r w:rsidR="00AD20AA" w:rsidRPr="002E171F">
              <w:rPr>
                <w:rFonts w:ascii="Arial" w:hAnsi="Arial" w:cs="Arial"/>
                <w:sz w:val="22"/>
                <w:szCs w:val="22"/>
              </w:rPr>
              <w:t>G</w:t>
            </w:r>
            <w:r w:rsidR="00853CD0">
              <w:rPr>
                <w:rFonts w:ascii="Arial" w:hAnsi="Arial" w:cs="Arial"/>
                <w:sz w:val="22"/>
                <w:szCs w:val="22"/>
              </w:rPr>
              <w:t xml:space="preserve">rammar, </w:t>
            </w:r>
            <w:r w:rsidR="00AD20AA" w:rsidRPr="002E171F">
              <w:rPr>
                <w:rFonts w:ascii="Arial" w:hAnsi="Arial" w:cs="Arial"/>
                <w:sz w:val="22"/>
                <w:szCs w:val="22"/>
              </w:rPr>
              <w:t>P</w:t>
            </w:r>
            <w:r w:rsidR="00853CD0">
              <w:rPr>
                <w:rFonts w:ascii="Arial" w:hAnsi="Arial" w:cs="Arial"/>
                <w:sz w:val="22"/>
                <w:szCs w:val="22"/>
              </w:rPr>
              <w:t>unctuation and Spelling</w:t>
            </w:r>
            <w:r>
              <w:rPr>
                <w:rFonts w:ascii="Arial" w:hAnsi="Arial" w:cs="Arial"/>
                <w:sz w:val="22"/>
                <w:szCs w:val="22"/>
              </w:rPr>
              <w:t xml:space="preserve"> (EGPS)</w:t>
            </w:r>
          </w:p>
        </w:tc>
      </w:tr>
      <w:tr w:rsidR="00AD20AA" w:rsidRPr="002E171F" w:rsidTr="00EA7307">
        <w:trPr>
          <w:cnfStyle w:val="000000100000"/>
        </w:trPr>
        <w:tc>
          <w:tcPr>
            <w:cnfStyle w:val="001000000000"/>
            <w:tcW w:w="2376" w:type="dxa"/>
          </w:tcPr>
          <w:p w:rsidR="00AD20AA" w:rsidRPr="002E171F" w:rsidRDefault="00AD20AA" w:rsidP="004A1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D20AA" w:rsidRPr="002E171F" w:rsidRDefault="00AD20AA" w:rsidP="004A1441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2E171F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1843" w:type="dxa"/>
          </w:tcPr>
          <w:p w:rsidR="00AD20AA" w:rsidRPr="002E171F" w:rsidRDefault="00AD20AA" w:rsidP="004A1441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2E171F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1701" w:type="dxa"/>
          </w:tcPr>
          <w:p w:rsidR="00AD20AA" w:rsidRPr="002E171F" w:rsidRDefault="00AD20AA" w:rsidP="004A1441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2E171F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2410" w:type="dxa"/>
          </w:tcPr>
          <w:p w:rsidR="00AD20AA" w:rsidRPr="002E171F" w:rsidRDefault="00AD20AA" w:rsidP="004A1441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2E171F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</w:tr>
      <w:tr w:rsidR="00AD20AA" w:rsidRPr="002E171F" w:rsidTr="00EA7307">
        <w:trPr>
          <w:cnfStyle w:val="000000010000"/>
        </w:trPr>
        <w:tc>
          <w:tcPr>
            <w:cnfStyle w:val="001000000000"/>
            <w:tcW w:w="2376" w:type="dxa"/>
          </w:tcPr>
          <w:p w:rsidR="00AD20AA" w:rsidRPr="002E171F" w:rsidRDefault="00AD20AA" w:rsidP="004A1441">
            <w:pPr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School</w:t>
            </w:r>
          </w:p>
          <w:p w:rsidR="00AD20AA" w:rsidRPr="002E171F" w:rsidRDefault="00AD20AA" w:rsidP="004A1441">
            <w:pPr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All Pupils</w:t>
            </w:r>
          </w:p>
        </w:tc>
        <w:tc>
          <w:tcPr>
            <w:tcW w:w="1701" w:type="dxa"/>
          </w:tcPr>
          <w:p w:rsidR="00AD20AA" w:rsidRPr="002E171F" w:rsidRDefault="00AD20AA" w:rsidP="003C5E0C">
            <w:pPr>
              <w:jc w:val="center"/>
              <w:cnfStyle w:val="00000001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28.9</w:t>
            </w:r>
          </w:p>
        </w:tc>
        <w:tc>
          <w:tcPr>
            <w:tcW w:w="1843" w:type="dxa"/>
          </w:tcPr>
          <w:p w:rsidR="00AD20AA" w:rsidRPr="002E171F" w:rsidRDefault="00AD20AA" w:rsidP="003C5E0C">
            <w:pPr>
              <w:jc w:val="center"/>
              <w:cnfStyle w:val="00000001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29.4</w:t>
            </w:r>
          </w:p>
        </w:tc>
        <w:tc>
          <w:tcPr>
            <w:tcW w:w="1701" w:type="dxa"/>
          </w:tcPr>
          <w:p w:rsidR="00AD20AA" w:rsidRPr="002E171F" w:rsidRDefault="00AD20AA" w:rsidP="003C5E0C">
            <w:pPr>
              <w:jc w:val="center"/>
              <w:cnfStyle w:val="00000001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30.3</w:t>
            </w:r>
          </w:p>
        </w:tc>
        <w:tc>
          <w:tcPr>
            <w:tcW w:w="2410" w:type="dxa"/>
          </w:tcPr>
          <w:p w:rsidR="00AD20AA" w:rsidRPr="002E171F" w:rsidRDefault="00AD20AA" w:rsidP="003C5E0C">
            <w:pPr>
              <w:jc w:val="center"/>
              <w:cnfStyle w:val="00000001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29.6</w:t>
            </w:r>
          </w:p>
        </w:tc>
      </w:tr>
      <w:tr w:rsidR="00AD20AA" w:rsidRPr="002E171F" w:rsidTr="00EA7307">
        <w:trPr>
          <w:cnfStyle w:val="000000100000"/>
        </w:trPr>
        <w:tc>
          <w:tcPr>
            <w:cnfStyle w:val="001000000000"/>
            <w:tcW w:w="2376" w:type="dxa"/>
          </w:tcPr>
          <w:p w:rsidR="00AD20AA" w:rsidRPr="002E171F" w:rsidRDefault="00AD20AA" w:rsidP="004A1441">
            <w:pPr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School</w:t>
            </w:r>
          </w:p>
          <w:p w:rsidR="00AD20AA" w:rsidRPr="002E171F" w:rsidRDefault="00AD20AA" w:rsidP="004A1441">
            <w:pPr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Non Pupil Premium</w:t>
            </w:r>
          </w:p>
        </w:tc>
        <w:tc>
          <w:tcPr>
            <w:tcW w:w="1701" w:type="dxa"/>
          </w:tcPr>
          <w:p w:rsidR="00AD20AA" w:rsidRPr="002E171F" w:rsidRDefault="00AD20AA" w:rsidP="003C5E0C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29.6</w:t>
            </w:r>
          </w:p>
        </w:tc>
        <w:tc>
          <w:tcPr>
            <w:tcW w:w="1843" w:type="dxa"/>
          </w:tcPr>
          <w:p w:rsidR="00AD20AA" w:rsidRPr="002E171F" w:rsidRDefault="00AD20AA" w:rsidP="003C5E0C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29.6</w:t>
            </w:r>
          </w:p>
        </w:tc>
        <w:tc>
          <w:tcPr>
            <w:tcW w:w="1701" w:type="dxa"/>
          </w:tcPr>
          <w:p w:rsidR="00AD20AA" w:rsidRPr="002E171F" w:rsidRDefault="00AD20AA" w:rsidP="003C5E0C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31.3</w:t>
            </w:r>
          </w:p>
        </w:tc>
        <w:tc>
          <w:tcPr>
            <w:tcW w:w="2410" w:type="dxa"/>
          </w:tcPr>
          <w:p w:rsidR="00AD20AA" w:rsidRPr="002E171F" w:rsidRDefault="00AD20AA" w:rsidP="003C5E0C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30.8</w:t>
            </w:r>
          </w:p>
        </w:tc>
      </w:tr>
      <w:tr w:rsidR="00AD20AA" w:rsidRPr="002E171F" w:rsidTr="00EA7307">
        <w:trPr>
          <w:cnfStyle w:val="000000010000"/>
        </w:trPr>
        <w:tc>
          <w:tcPr>
            <w:cnfStyle w:val="001000000000"/>
            <w:tcW w:w="2376" w:type="dxa"/>
          </w:tcPr>
          <w:p w:rsidR="00AD20AA" w:rsidRPr="002E171F" w:rsidRDefault="00AD20AA" w:rsidP="004A1441">
            <w:pPr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School</w:t>
            </w:r>
          </w:p>
          <w:p w:rsidR="00AD20AA" w:rsidRPr="002E171F" w:rsidRDefault="00AD20AA" w:rsidP="004A1441">
            <w:pPr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Pupil premium</w:t>
            </w:r>
          </w:p>
        </w:tc>
        <w:tc>
          <w:tcPr>
            <w:tcW w:w="1701" w:type="dxa"/>
          </w:tcPr>
          <w:p w:rsidR="00AD20AA" w:rsidRPr="002E171F" w:rsidRDefault="00AD20AA" w:rsidP="003C5E0C">
            <w:pPr>
              <w:jc w:val="center"/>
              <w:cnfStyle w:val="00000001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28.3</w:t>
            </w:r>
          </w:p>
        </w:tc>
        <w:tc>
          <w:tcPr>
            <w:tcW w:w="1843" w:type="dxa"/>
          </w:tcPr>
          <w:p w:rsidR="00AD20AA" w:rsidRPr="002E171F" w:rsidRDefault="00AD20AA" w:rsidP="003C5E0C">
            <w:pPr>
              <w:jc w:val="center"/>
              <w:cnfStyle w:val="00000001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29.3</w:t>
            </w:r>
          </w:p>
        </w:tc>
        <w:tc>
          <w:tcPr>
            <w:tcW w:w="1701" w:type="dxa"/>
          </w:tcPr>
          <w:p w:rsidR="00AD20AA" w:rsidRPr="002E171F" w:rsidRDefault="00AD20AA" w:rsidP="003C5E0C">
            <w:pPr>
              <w:jc w:val="center"/>
              <w:cnfStyle w:val="00000001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29.5</w:t>
            </w:r>
          </w:p>
        </w:tc>
        <w:tc>
          <w:tcPr>
            <w:tcW w:w="2410" w:type="dxa"/>
          </w:tcPr>
          <w:p w:rsidR="00AD20AA" w:rsidRPr="002E171F" w:rsidRDefault="00AD20AA" w:rsidP="003C5E0C">
            <w:pPr>
              <w:jc w:val="center"/>
              <w:cnfStyle w:val="00000001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28.6</w:t>
            </w:r>
          </w:p>
        </w:tc>
      </w:tr>
      <w:tr w:rsidR="00AD20AA" w:rsidRPr="002E171F" w:rsidTr="00EA7307">
        <w:trPr>
          <w:cnfStyle w:val="000000100000"/>
        </w:trPr>
        <w:tc>
          <w:tcPr>
            <w:cnfStyle w:val="001000000000"/>
            <w:tcW w:w="2376" w:type="dxa"/>
          </w:tcPr>
          <w:p w:rsidR="00AD20AA" w:rsidRPr="002E171F" w:rsidRDefault="00AD20AA" w:rsidP="004A1441">
            <w:pPr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National</w:t>
            </w:r>
          </w:p>
          <w:p w:rsidR="00AD20AA" w:rsidRPr="002E171F" w:rsidRDefault="00AD20AA" w:rsidP="004A1441">
            <w:pPr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Average</w:t>
            </w:r>
          </w:p>
        </w:tc>
        <w:tc>
          <w:tcPr>
            <w:tcW w:w="1701" w:type="dxa"/>
          </w:tcPr>
          <w:p w:rsidR="00AD20AA" w:rsidRPr="002E171F" w:rsidRDefault="00AD20AA" w:rsidP="003C5E0C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29.0</w:t>
            </w:r>
          </w:p>
        </w:tc>
        <w:tc>
          <w:tcPr>
            <w:tcW w:w="1843" w:type="dxa"/>
          </w:tcPr>
          <w:p w:rsidR="00AD20AA" w:rsidRPr="002E171F" w:rsidRDefault="00AD20AA" w:rsidP="003C5E0C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27.9</w:t>
            </w:r>
          </w:p>
        </w:tc>
        <w:tc>
          <w:tcPr>
            <w:tcW w:w="1701" w:type="dxa"/>
          </w:tcPr>
          <w:p w:rsidR="00AD20AA" w:rsidRPr="002E171F" w:rsidRDefault="00AD20AA" w:rsidP="003C5E0C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29.0</w:t>
            </w:r>
          </w:p>
        </w:tc>
        <w:tc>
          <w:tcPr>
            <w:tcW w:w="2410" w:type="dxa"/>
          </w:tcPr>
          <w:p w:rsidR="00AD20AA" w:rsidRPr="002E171F" w:rsidRDefault="00AD20AA" w:rsidP="003C5E0C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28.6</w:t>
            </w:r>
          </w:p>
        </w:tc>
      </w:tr>
      <w:tr w:rsidR="00AD20AA" w:rsidRPr="002E171F" w:rsidTr="00EA7307">
        <w:trPr>
          <w:cnfStyle w:val="000000010000"/>
        </w:trPr>
        <w:tc>
          <w:tcPr>
            <w:cnfStyle w:val="001000000000"/>
            <w:tcW w:w="2376" w:type="dxa"/>
          </w:tcPr>
          <w:p w:rsidR="00AD20AA" w:rsidRPr="002E171F" w:rsidRDefault="00AD20AA" w:rsidP="004A1441">
            <w:pPr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School gap with all pupils nationally</w:t>
            </w:r>
          </w:p>
        </w:tc>
        <w:tc>
          <w:tcPr>
            <w:tcW w:w="1701" w:type="dxa"/>
          </w:tcPr>
          <w:p w:rsidR="00AD20AA" w:rsidRPr="002E171F" w:rsidRDefault="00AD20AA" w:rsidP="003C5E0C">
            <w:pPr>
              <w:jc w:val="center"/>
              <w:cnfStyle w:val="00000001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-0.8</w:t>
            </w:r>
          </w:p>
        </w:tc>
        <w:tc>
          <w:tcPr>
            <w:tcW w:w="1843" w:type="dxa"/>
          </w:tcPr>
          <w:p w:rsidR="00AD20AA" w:rsidRPr="002E171F" w:rsidRDefault="00AD20AA" w:rsidP="003C5E0C">
            <w:pPr>
              <w:jc w:val="center"/>
              <w:cnfStyle w:val="00000001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+1.4</w:t>
            </w:r>
          </w:p>
        </w:tc>
        <w:tc>
          <w:tcPr>
            <w:tcW w:w="1701" w:type="dxa"/>
          </w:tcPr>
          <w:p w:rsidR="00AD20AA" w:rsidRPr="002E171F" w:rsidRDefault="00AD20AA" w:rsidP="003C5E0C">
            <w:pPr>
              <w:jc w:val="center"/>
              <w:cnfStyle w:val="00000001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+0.5</w:t>
            </w:r>
          </w:p>
        </w:tc>
        <w:tc>
          <w:tcPr>
            <w:tcW w:w="2410" w:type="dxa"/>
          </w:tcPr>
          <w:p w:rsidR="00AD20AA" w:rsidRPr="002E171F" w:rsidRDefault="00AD20AA" w:rsidP="003C5E0C">
            <w:pPr>
              <w:jc w:val="center"/>
              <w:cnfStyle w:val="00000001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0.0</w:t>
            </w:r>
          </w:p>
        </w:tc>
      </w:tr>
      <w:tr w:rsidR="00AD20AA" w:rsidRPr="002E171F" w:rsidTr="00EA7307">
        <w:trPr>
          <w:cnfStyle w:val="000000100000"/>
        </w:trPr>
        <w:tc>
          <w:tcPr>
            <w:cnfStyle w:val="001000000000"/>
            <w:tcW w:w="2376" w:type="dxa"/>
          </w:tcPr>
          <w:p w:rsidR="00AD20AA" w:rsidRPr="002E171F" w:rsidRDefault="00AD20AA" w:rsidP="004A1441">
            <w:pPr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Gap between PP nationally and all pupils nationally</w:t>
            </w:r>
          </w:p>
        </w:tc>
        <w:tc>
          <w:tcPr>
            <w:tcW w:w="1701" w:type="dxa"/>
          </w:tcPr>
          <w:p w:rsidR="00AD20AA" w:rsidRPr="002E171F" w:rsidRDefault="00AD20AA" w:rsidP="003C5E0C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-2.5</w:t>
            </w:r>
          </w:p>
        </w:tc>
        <w:tc>
          <w:tcPr>
            <w:tcW w:w="1843" w:type="dxa"/>
          </w:tcPr>
          <w:p w:rsidR="00AD20AA" w:rsidRPr="002E171F" w:rsidRDefault="00AD20AA" w:rsidP="003C5E0C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-1.7</w:t>
            </w:r>
          </w:p>
        </w:tc>
        <w:tc>
          <w:tcPr>
            <w:tcW w:w="1701" w:type="dxa"/>
          </w:tcPr>
          <w:p w:rsidR="00AD20AA" w:rsidRPr="002E171F" w:rsidRDefault="00AD20AA" w:rsidP="003C5E0C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-2.8</w:t>
            </w:r>
          </w:p>
        </w:tc>
        <w:tc>
          <w:tcPr>
            <w:tcW w:w="2410" w:type="dxa"/>
          </w:tcPr>
          <w:p w:rsidR="00AD20AA" w:rsidRPr="002E171F" w:rsidRDefault="00AD20AA" w:rsidP="003C5E0C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-1.7</w:t>
            </w:r>
          </w:p>
        </w:tc>
      </w:tr>
    </w:tbl>
    <w:p w:rsidR="00B573DA" w:rsidRPr="002E171F" w:rsidRDefault="00B573DA">
      <w:pPr>
        <w:rPr>
          <w:rFonts w:ascii="Arial" w:hAnsi="Arial" w:cs="Arial"/>
          <w:sz w:val="22"/>
          <w:szCs w:val="22"/>
        </w:rPr>
      </w:pPr>
    </w:p>
    <w:p w:rsidR="004200F0" w:rsidRPr="002E171F" w:rsidRDefault="00881BA1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How did we do?</w:t>
      </w:r>
    </w:p>
    <w:p w:rsidR="00881BA1" w:rsidRPr="00881BA1" w:rsidRDefault="00881BA1">
      <w:pPr>
        <w:rPr>
          <w:rFonts w:ascii="Arial" w:hAnsi="Arial" w:cs="Arial"/>
          <w:b/>
          <w:sz w:val="22"/>
          <w:szCs w:val="22"/>
          <w:u w:val="single"/>
        </w:rPr>
      </w:pPr>
      <w:r w:rsidRPr="00881BA1">
        <w:rPr>
          <w:rFonts w:ascii="Arial" w:hAnsi="Arial" w:cs="Arial"/>
          <w:b/>
          <w:sz w:val="22"/>
          <w:szCs w:val="22"/>
          <w:u w:val="single"/>
        </w:rPr>
        <w:t>Reading</w:t>
      </w:r>
    </w:p>
    <w:p w:rsidR="00881BA1" w:rsidRDefault="00881B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 r</w:t>
      </w:r>
      <w:r w:rsidR="00A74D80" w:rsidRPr="002E171F">
        <w:rPr>
          <w:rFonts w:ascii="Arial" w:hAnsi="Arial" w:cs="Arial"/>
          <w:sz w:val="22"/>
          <w:szCs w:val="22"/>
        </w:rPr>
        <w:t>eading</w:t>
      </w:r>
      <w:r>
        <w:rPr>
          <w:rFonts w:ascii="Arial" w:hAnsi="Arial" w:cs="Arial"/>
          <w:sz w:val="22"/>
          <w:szCs w:val="22"/>
        </w:rPr>
        <w:t xml:space="preserve"> results show an</w:t>
      </w:r>
      <w:r w:rsidR="00EA7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in-</w:t>
      </w:r>
      <w:r w:rsidR="007B2F23" w:rsidRPr="002E171F">
        <w:rPr>
          <w:rFonts w:ascii="Arial" w:hAnsi="Arial" w:cs="Arial"/>
          <w:sz w:val="22"/>
          <w:szCs w:val="22"/>
        </w:rPr>
        <w:t xml:space="preserve">school </w:t>
      </w:r>
      <w:r>
        <w:rPr>
          <w:rFonts w:ascii="Arial" w:hAnsi="Arial" w:cs="Arial"/>
          <w:sz w:val="22"/>
          <w:szCs w:val="22"/>
        </w:rPr>
        <w:t xml:space="preserve">gap (this is the difference between pupil premium pupils and non pupil premium pupils). </w:t>
      </w:r>
    </w:p>
    <w:p w:rsidR="007B2F23" w:rsidRPr="002E171F" w:rsidRDefault="00881B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2014 our pupil premium pupils in reading performed</w:t>
      </w:r>
      <w:r w:rsidR="00A74D80" w:rsidRPr="002E171F">
        <w:rPr>
          <w:rFonts w:ascii="Arial" w:hAnsi="Arial" w:cs="Arial"/>
          <w:sz w:val="22"/>
          <w:szCs w:val="22"/>
        </w:rPr>
        <w:t xml:space="preserve"> approx. 5 months behind a</w:t>
      </w:r>
      <w:r>
        <w:rPr>
          <w:rFonts w:ascii="Arial" w:hAnsi="Arial" w:cs="Arial"/>
          <w:sz w:val="22"/>
          <w:szCs w:val="22"/>
        </w:rPr>
        <w:t>ll pupils nationally. In reading across the country pupil premium</w:t>
      </w:r>
      <w:r w:rsidR="00A74D80" w:rsidRPr="002E171F">
        <w:rPr>
          <w:rFonts w:ascii="Arial" w:hAnsi="Arial" w:cs="Arial"/>
          <w:sz w:val="22"/>
          <w:szCs w:val="22"/>
        </w:rPr>
        <w:t xml:space="preserve"> pupils perform 10 months </w:t>
      </w:r>
      <w:r>
        <w:rPr>
          <w:rFonts w:ascii="Arial" w:hAnsi="Arial" w:cs="Arial"/>
          <w:sz w:val="22"/>
          <w:szCs w:val="22"/>
        </w:rPr>
        <w:t>behind all pupils nationally. Therefore English Martyrs Primary is</w:t>
      </w:r>
      <w:r w:rsidR="00A74D80" w:rsidRPr="002E171F">
        <w:rPr>
          <w:rFonts w:ascii="Arial" w:hAnsi="Arial" w:cs="Arial"/>
          <w:sz w:val="22"/>
          <w:szCs w:val="22"/>
        </w:rPr>
        <w:t xml:space="preserve"> still performing better than all schools nationally.</w:t>
      </w:r>
    </w:p>
    <w:p w:rsidR="00881BA1" w:rsidRPr="00881BA1" w:rsidRDefault="00881BA1">
      <w:pPr>
        <w:rPr>
          <w:rFonts w:ascii="Arial" w:hAnsi="Arial" w:cs="Arial"/>
          <w:b/>
          <w:sz w:val="22"/>
          <w:szCs w:val="22"/>
          <w:u w:val="single"/>
        </w:rPr>
      </w:pPr>
      <w:r w:rsidRPr="00881BA1">
        <w:rPr>
          <w:rFonts w:ascii="Arial" w:hAnsi="Arial" w:cs="Arial"/>
          <w:b/>
          <w:sz w:val="22"/>
          <w:szCs w:val="22"/>
          <w:u w:val="single"/>
        </w:rPr>
        <w:t>Writing</w:t>
      </w:r>
    </w:p>
    <w:p w:rsidR="00881BA1" w:rsidRDefault="00881BA1" w:rsidP="00881B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 writing results show an</w:t>
      </w:r>
      <w:r w:rsidR="00EA7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in-</w:t>
      </w:r>
      <w:r w:rsidRPr="002E171F">
        <w:rPr>
          <w:rFonts w:ascii="Arial" w:hAnsi="Arial" w:cs="Arial"/>
          <w:sz w:val="22"/>
          <w:szCs w:val="22"/>
        </w:rPr>
        <w:t xml:space="preserve">school </w:t>
      </w:r>
      <w:r>
        <w:rPr>
          <w:rFonts w:ascii="Arial" w:hAnsi="Arial" w:cs="Arial"/>
          <w:sz w:val="22"/>
          <w:szCs w:val="22"/>
        </w:rPr>
        <w:t xml:space="preserve">gap (this is the difference between pupil premium pupils and non pupil premium pupils). </w:t>
      </w:r>
    </w:p>
    <w:p w:rsidR="00881BA1" w:rsidRDefault="00881B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2014 our pupil premium in writing pupils performed approx. 6 months ahead of</w:t>
      </w:r>
      <w:r w:rsidRPr="002E171F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ll pupils nationally. In writing across the country pupil premium</w:t>
      </w:r>
      <w:r w:rsidRPr="002E171F">
        <w:rPr>
          <w:rFonts w:ascii="Arial" w:hAnsi="Arial" w:cs="Arial"/>
          <w:sz w:val="22"/>
          <w:szCs w:val="22"/>
        </w:rPr>
        <w:t xml:space="preserve"> pupils perform 10 months </w:t>
      </w:r>
      <w:r>
        <w:rPr>
          <w:rFonts w:ascii="Arial" w:hAnsi="Arial" w:cs="Arial"/>
          <w:sz w:val="22"/>
          <w:szCs w:val="22"/>
        </w:rPr>
        <w:t>behind all pupils nationally. Therefore English Martyrs Primary is</w:t>
      </w:r>
      <w:r w:rsidRPr="002E171F">
        <w:rPr>
          <w:rFonts w:ascii="Arial" w:hAnsi="Arial" w:cs="Arial"/>
          <w:sz w:val="22"/>
          <w:szCs w:val="22"/>
        </w:rPr>
        <w:t xml:space="preserve"> performing bet</w:t>
      </w:r>
      <w:r>
        <w:rPr>
          <w:rFonts w:ascii="Arial" w:hAnsi="Arial" w:cs="Arial"/>
          <w:sz w:val="22"/>
          <w:szCs w:val="22"/>
        </w:rPr>
        <w:t>ter than all schools nationally</w:t>
      </w:r>
    </w:p>
    <w:p w:rsidR="00881BA1" w:rsidRPr="00881BA1" w:rsidRDefault="00881BA1">
      <w:pPr>
        <w:rPr>
          <w:rFonts w:ascii="Arial" w:hAnsi="Arial" w:cs="Arial"/>
          <w:sz w:val="22"/>
          <w:szCs w:val="22"/>
        </w:rPr>
      </w:pPr>
      <w:r w:rsidRPr="00881BA1">
        <w:rPr>
          <w:rFonts w:ascii="Arial" w:hAnsi="Arial" w:cs="Arial"/>
          <w:b/>
          <w:sz w:val="22"/>
          <w:szCs w:val="22"/>
          <w:u w:val="single"/>
        </w:rPr>
        <w:t>Mathematics</w:t>
      </w:r>
    </w:p>
    <w:p w:rsidR="00881BA1" w:rsidRDefault="00881BA1" w:rsidP="00881B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 mathematics results show an</w:t>
      </w:r>
      <w:r w:rsidR="00EA7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in-</w:t>
      </w:r>
      <w:r w:rsidRPr="002E171F">
        <w:rPr>
          <w:rFonts w:ascii="Arial" w:hAnsi="Arial" w:cs="Arial"/>
          <w:sz w:val="22"/>
          <w:szCs w:val="22"/>
        </w:rPr>
        <w:t xml:space="preserve">school </w:t>
      </w:r>
      <w:r>
        <w:rPr>
          <w:rFonts w:ascii="Arial" w:hAnsi="Arial" w:cs="Arial"/>
          <w:sz w:val="22"/>
          <w:szCs w:val="22"/>
        </w:rPr>
        <w:t xml:space="preserve">gap (this is the difference between pupil premium pupils and non pupil premium pupils). </w:t>
      </w:r>
    </w:p>
    <w:p w:rsidR="00881BA1" w:rsidRPr="002E171F" w:rsidRDefault="00881BA1" w:rsidP="00881B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 2014 our pupil premium pupils performed approx. 2 months ahead of </w:t>
      </w:r>
      <w:r w:rsidRPr="002E171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ll pupils nationally. In mathematics across the country pupil premium</w:t>
      </w:r>
      <w:r w:rsidRPr="002E171F">
        <w:rPr>
          <w:rFonts w:ascii="Arial" w:hAnsi="Arial" w:cs="Arial"/>
          <w:sz w:val="22"/>
          <w:szCs w:val="22"/>
        </w:rPr>
        <w:t xml:space="preserve"> pupils perform 10 months </w:t>
      </w:r>
      <w:r>
        <w:rPr>
          <w:rFonts w:ascii="Arial" w:hAnsi="Arial" w:cs="Arial"/>
          <w:sz w:val="22"/>
          <w:szCs w:val="22"/>
        </w:rPr>
        <w:t>behind all pupils nationally. Therefore English Martyrs Primary is</w:t>
      </w:r>
      <w:r w:rsidRPr="002E171F">
        <w:rPr>
          <w:rFonts w:ascii="Arial" w:hAnsi="Arial" w:cs="Arial"/>
          <w:sz w:val="22"/>
          <w:szCs w:val="22"/>
        </w:rPr>
        <w:t xml:space="preserve"> performing better than all schools nationally.</w:t>
      </w:r>
    </w:p>
    <w:p w:rsidR="00881BA1" w:rsidRPr="00881BA1" w:rsidRDefault="00881BA1">
      <w:pPr>
        <w:rPr>
          <w:rFonts w:ascii="Arial" w:hAnsi="Arial" w:cs="Arial"/>
          <w:b/>
          <w:sz w:val="22"/>
          <w:szCs w:val="22"/>
          <w:u w:val="single"/>
        </w:rPr>
      </w:pPr>
      <w:r w:rsidRPr="00881BA1">
        <w:rPr>
          <w:rFonts w:ascii="Arial" w:hAnsi="Arial" w:cs="Arial"/>
          <w:b/>
          <w:sz w:val="22"/>
          <w:szCs w:val="22"/>
          <w:u w:val="single"/>
        </w:rPr>
        <w:t>English Grammar</w:t>
      </w:r>
      <w:r w:rsidR="00EA7307">
        <w:rPr>
          <w:rFonts w:ascii="Arial" w:hAnsi="Arial" w:cs="Arial"/>
          <w:b/>
          <w:sz w:val="22"/>
          <w:szCs w:val="22"/>
          <w:u w:val="single"/>
        </w:rPr>
        <w:t>,</w:t>
      </w:r>
      <w:r w:rsidRPr="00881BA1">
        <w:rPr>
          <w:rFonts w:ascii="Arial" w:hAnsi="Arial" w:cs="Arial"/>
          <w:b/>
          <w:sz w:val="22"/>
          <w:szCs w:val="22"/>
          <w:u w:val="single"/>
        </w:rPr>
        <w:t xml:space="preserve"> Punctuation &amp; Spelling</w:t>
      </w:r>
      <w:r>
        <w:rPr>
          <w:rFonts w:ascii="Arial" w:hAnsi="Arial" w:cs="Arial"/>
          <w:b/>
          <w:sz w:val="22"/>
          <w:szCs w:val="22"/>
          <w:u w:val="single"/>
        </w:rPr>
        <w:t xml:space="preserve"> (EGPS)</w:t>
      </w:r>
      <w:r w:rsidRPr="00881BA1">
        <w:rPr>
          <w:rFonts w:ascii="Arial" w:hAnsi="Arial" w:cs="Arial"/>
          <w:b/>
          <w:sz w:val="22"/>
          <w:szCs w:val="22"/>
          <w:u w:val="single"/>
        </w:rPr>
        <w:t>:</w:t>
      </w:r>
    </w:p>
    <w:p w:rsidR="00D82D4A" w:rsidRDefault="00B17672" w:rsidP="00D8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 EGPS</w:t>
      </w:r>
      <w:r w:rsidR="00D82D4A">
        <w:rPr>
          <w:rFonts w:ascii="Arial" w:hAnsi="Arial" w:cs="Arial"/>
          <w:sz w:val="22"/>
          <w:szCs w:val="22"/>
        </w:rPr>
        <w:t xml:space="preserve"> results show an</w:t>
      </w:r>
      <w:r w:rsidR="00673725">
        <w:rPr>
          <w:rFonts w:ascii="Arial" w:hAnsi="Arial" w:cs="Arial"/>
          <w:sz w:val="22"/>
          <w:szCs w:val="22"/>
        </w:rPr>
        <w:t xml:space="preserve"> </w:t>
      </w:r>
      <w:r w:rsidR="00D82D4A">
        <w:rPr>
          <w:rFonts w:ascii="Arial" w:hAnsi="Arial" w:cs="Arial"/>
          <w:sz w:val="22"/>
          <w:szCs w:val="22"/>
        </w:rPr>
        <w:t>in-</w:t>
      </w:r>
      <w:r w:rsidR="00D82D4A" w:rsidRPr="002E171F">
        <w:rPr>
          <w:rFonts w:ascii="Arial" w:hAnsi="Arial" w:cs="Arial"/>
          <w:sz w:val="22"/>
          <w:szCs w:val="22"/>
        </w:rPr>
        <w:t xml:space="preserve">school </w:t>
      </w:r>
      <w:r w:rsidR="00D82D4A">
        <w:rPr>
          <w:rFonts w:ascii="Arial" w:hAnsi="Arial" w:cs="Arial"/>
          <w:sz w:val="22"/>
          <w:szCs w:val="22"/>
        </w:rPr>
        <w:t xml:space="preserve">gap (this is the difference between pupil premium pupils and non pupil premium pupils). </w:t>
      </w:r>
    </w:p>
    <w:p w:rsidR="00D82D4A" w:rsidRPr="002E171F" w:rsidRDefault="00D82D4A" w:rsidP="00D8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2014 our pupil premium pupils performed in line with</w:t>
      </w:r>
      <w:r w:rsidRPr="002E171F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ll pupils nationally. In </w:t>
      </w:r>
      <w:r w:rsidR="00B17672">
        <w:rPr>
          <w:rFonts w:ascii="Arial" w:hAnsi="Arial" w:cs="Arial"/>
          <w:sz w:val="22"/>
          <w:szCs w:val="22"/>
        </w:rPr>
        <w:t>EGPS</w:t>
      </w:r>
      <w:r>
        <w:rPr>
          <w:rFonts w:ascii="Arial" w:hAnsi="Arial" w:cs="Arial"/>
          <w:sz w:val="22"/>
          <w:szCs w:val="22"/>
        </w:rPr>
        <w:t xml:space="preserve"> across the country pupil premium pupils perform 8</w:t>
      </w:r>
      <w:r w:rsidRPr="002E171F">
        <w:rPr>
          <w:rFonts w:ascii="Arial" w:hAnsi="Arial" w:cs="Arial"/>
          <w:sz w:val="22"/>
          <w:szCs w:val="22"/>
        </w:rPr>
        <w:t xml:space="preserve"> months </w:t>
      </w:r>
      <w:r>
        <w:rPr>
          <w:rFonts w:ascii="Arial" w:hAnsi="Arial" w:cs="Arial"/>
          <w:sz w:val="22"/>
          <w:szCs w:val="22"/>
        </w:rPr>
        <w:t xml:space="preserve">behind all pupils nationally. Therefore English Martyrs Primary is </w:t>
      </w:r>
      <w:r w:rsidRPr="002E171F">
        <w:rPr>
          <w:rFonts w:ascii="Arial" w:hAnsi="Arial" w:cs="Arial"/>
          <w:sz w:val="22"/>
          <w:szCs w:val="22"/>
        </w:rPr>
        <w:t>performing better than all schools nationally.</w:t>
      </w:r>
    </w:p>
    <w:p w:rsidR="002E171F" w:rsidRPr="00881BA1" w:rsidRDefault="00881BA1">
      <w:pPr>
        <w:rPr>
          <w:rFonts w:ascii="Arial" w:hAnsi="Arial" w:cs="Arial"/>
          <w:b/>
          <w:sz w:val="28"/>
          <w:szCs w:val="28"/>
          <w:u w:val="single"/>
        </w:rPr>
      </w:pPr>
      <w:r w:rsidRPr="00881BA1">
        <w:rPr>
          <w:rFonts w:ascii="Arial" w:hAnsi="Arial" w:cs="Arial"/>
          <w:b/>
          <w:sz w:val="28"/>
          <w:szCs w:val="28"/>
          <w:u w:val="single"/>
        </w:rPr>
        <w:t>Key Stage 1:</w:t>
      </w:r>
    </w:p>
    <w:tbl>
      <w:tblPr>
        <w:tblStyle w:val="LightGrid-Accent5"/>
        <w:tblW w:w="9464" w:type="dxa"/>
        <w:tblLook w:val="04A0"/>
      </w:tblPr>
      <w:tblGrid>
        <w:gridCol w:w="2660"/>
        <w:gridCol w:w="2551"/>
        <w:gridCol w:w="1985"/>
        <w:gridCol w:w="2268"/>
      </w:tblGrid>
      <w:tr w:rsidR="00716F9C" w:rsidRPr="002E171F" w:rsidTr="00853CD0">
        <w:trPr>
          <w:cnfStyle w:val="100000000000"/>
        </w:trPr>
        <w:tc>
          <w:tcPr>
            <w:cnfStyle w:val="001000000000"/>
            <w:tcW w:w="2660" w:type="dxa"/>
          </w:tcPr>
          <w:p w:rsidR="00716F9C" w:rsidRPr="002E171F" w:rsidRDefault="00716F9C" w:rsidP="004A1441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YEAR 2</w:t>
            </w:r>
          </w:p>
        </w:tc>
        <w:tc>
          <w:tcPr>
            <w:tcW w:w="2551" w:type="dxa"/>
          </w:tcPr>
          <w:p w:rsidR="00716F9C" w:rsidRPr="002E171F" w:rsidRDefault="00716F9C" w:rsidP="00853CD0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Reading</w:t>
            </w:r>
          </w:p>
        </w:tc>
        <w:tc>
          <w:tcPr>
            <w:tcW w:w="1985" w:type="dxa"/>
          </w:tcPr>
          <w:p w:rsidR="00716F9C" w:rsidRPr="002E171F" w:rsidRDefault="00716F9C" w:rsidP="00853CD0">
            <w:pPr>
              <w:jc w:val="center"/>
              <w:cnfStyle w:val="10000000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Writing</w:t>
            </w:r>
          </w:p>
        </w:tc>
        <w:tc>
          <w:tcPr>
            <w:tcW w:w="2268" w:type="dxa"/>
          </w:tcPr>
          <w:p w:rsidR="00716F9C" w:rsidRPr="002E171F" w:rsidRDefault="00716F9C" w:rsidP="00853CD0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Math</w:t>
            </w:r>
            <w:r w:rsidR="001F58F8">
              <w:rPr>
                <w:rFonts w:ascii="Arial" w:hAnsi="Arial" w:cs="Arial"/>
                <w:sz w:val="22"/>
                <w:szCs w:val="22"/>
              </w:rPr>
              <w:t>ematic</w:t>
            </w:r>
            <w:r w:rsidRPr="002E171F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716F9C" w:rsidRPr="002E171F" w:rsidTr="00853CD0">
        <w:trPr>
          <w:cnfStyle w:val="000000100000"/>
        </w:trPr>
        <w:tc>
          <w:tcPr>
            <w:cnfStyle w:val="001000000000"/>
            <w:tcW w:w="2660" w:type="dxa"/>
          </w:tcPr>
          <w:p w:rsidR="00716F9C" w:rsidRPr="002E171F" w:rsidRDefault="00716F9C" w:rsidP="004A14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716F9C" w:rsidRPr="002E171F" w:rsidRDefault="00716F9C" w:rsidP="00853CD0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2E171F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1985" w:type="dxa"/>
          </w:tcPr>
          <w:p w:rsidR="00716F9C" w:rsidRPr="002E171F" w:rsidRDefault="00716F9C" w:rsidP="00853CD0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2E171F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2268" w:type="dxa"/>
          </w:tcPr>
          <w:p w:rsidR="00716F9C" w:rsidRPr="002E171F" w:rsidRDefault="00716F9C" w:rsidP="00853CD0">
            <w:pPr>
              <w:jc w:val="center"/>
              <w:cnfStyle w:val="000000100000"/>
              <w:rPr>
                <w:rFonts w:ascii="Arial" w:hAnsi="Arial" w:cs="Arial"/>
                <w:b/>
                <w:sz w:val="22"/>
                <w:szCs w:val="22"/>
              </w:rPr>
            </w:pPr>
            <w:r w:rsidRPr="002E171F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</w:tr>
      <w:tr w:rsidR="00716F9C" w:rsidRPr="002E171F" w:rsidTr="00853CD0">
        <w:trPr>
          <w:cnfStyle w:val="000000010000"/>
        </w:trPr>
        <w:tc>
          <w:tcPr>
            <w:cnfStyle w:val="001000000000"/>
            <w:tcW w:w="2660" w:type="dxa"/>
          </w:tcPr>
          <w:p w:rsidR="00716F9C" w:rsidRPr="002E171F" w:rsidRDefault="00716F9C" w:rsidP="004A1441">
            <w:pPr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School</w:t>
            </w:r>
          </w:p>
          <w:p w:rsidR="00716F9C" w:rsidRPr="002E171F" w:rsidRDefault="00716F9C" w:rsidP="004A1441">
            <w:pPr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All Pupils</w:t>
            </w:r>
          </w:p>
        </w:tc>
        <w:tc>
          <w:tcPr>
            <w:tcW w:w="2551" w:type="dxa"/>
          </w:tcPr>
          <w:p w:rsidR="00716F9C" w:rsidRPr="002E171F" w:rsidRDefault="00716F9C" w:rsidP="00853CD0">
            <w:pPr>
              <w:jc w:val="center"/>
              <w:cnfStyle w:val="00000001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16.2</w:t>
            </w:r>
          </w:p>
        </w:tc>
        <w:tc>
          <w:tcPr>
            <w:tcW w:w="1985" w:type="dxa"/>
          </w:tcPr>
          <w:p w:rsidR="00716F9C" w:rsidRPr="002E171F" w:rsidRDefault="00716F9C" w:rsidP="00853CD0">
            <w:pPr>
              <w:jc w:val="center"/>
              <w:cnfStyle w:val="00000001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15.3</w:t>
            </w:r>
          </w:p>
        </w:tc>
        <w:tc>
          <w:tcPr>
            <w:tcW w:w="2268" w:type="dxa"/>
          </w:tcPr>
          <w:p w:rsidR="00716F9C" w:rsidRPr="002E171F" w:rsidRDefault="00716F9C" w:rsidP="00853CD0">
            <w:pPr>
              <w:jc w:val="center"/>
              <w:cnfStyle w:val="00000001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16.3</w:t>
            </w:r>
          </w:p>
        </w:tc>
      </w:tr>
      <w:tr w:rsidR="00716F9C" w:rsidRPr="002E171F" w:rsidTr="00853CD0">
        <w:trPr>
          <w:cnfStyle w:val="000000100000"/>
        </w:trPr>
        <w:tc>
          <w:tcPr>
            <w:cnfStyle w:val="001000000000"/>
            <w:tcW w:w="2660" w:type="dxa"/>
          </w:tcPr>
          <w:p w:rsidR="00716F9C" w:rsidRPr="002E171F" w:rsidRDefault="00716F9C" w:rsidP="004A1441">
            <w:pPr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School</w:t>
            </w:r>
          </w:p>
          <w:p w:rsidR="00716F9C" w:rsidRPr="002E171F" w:rsidRDefault="00716F9C" w:rsidP="004A1441">
            <w:pPr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Non Pupil Premium</w:t>
            </w:r>
          </w:p>
        </w:tc>
        <w:tc>
          <w:tcPr>
            <w:tcW w:w="2551" w:type="dxa"/>
          </w:tcPr>
          <w:p w:rsidR="00716F9C" w:rsidRPr="002E171F" w:rsidRDefault="00716F9C" w:rsidP="00853CD0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16.4</w:t>
            </w:r>
          </w:p>
        </w:tc>
        <w:tc>
          <w:tcPr>
            <w:tcW w:w="1985" w:type="dxa"/>
          </w:tcPr>
          <w:p w:rsidR="00716F9C" w:rsidRPr="002E171F" w:rsidRDefault="00716F9C" w:rsidP="00853CD0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15.7</w:t>
            </w:r>
          </w:p>
        </w:tc>
        <w:tc>
          <w:tcPr>
            <w:tcW w:w="2268" w:type="dxa"/>
          </w:tcPr>
          <w:p w:rsidR="00716F9C" w:rsidRPr="002E171F" w:rsidRDefault="00716F9C" w:rsidP="00853CD0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16.5</w:t>
            </w:r>
          </w:p>
        </w:tc>
      </w:tr>
      <w:tr w:rsidR="00716F9C" w:rsidRPr="002E171F" w:rsidTr="00853CD0">
        <w:trPr>
          <w:cnfStyle w:val="000000010000"/>
        </w:trPr>
        <w:tc>
          <w:tcPr>
            <w:cnfStyle w:val="001000000000"/>
            <w:tcW w:w="2660" w:type="dxa"/>
          </w:tcPr>
          <w:p w:rsidR="00716F9C" w:rsidRPr="002E171F" w:rsidRDefault="00716F9C" w:rsidP="004A1441">
            <w:pPr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School</w:t>
            </w:r>
          </w:p>
          <w:p w:rsidR="00716F9C" w:rsidRPr="002E171F" w:rsidRDefault="00716F9C" w:rsidP="004A1441">
            <w:pPr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Pupil premium</w:t>
            </w:r>
          </w:p>
        </w:tc>
        <w:tc>
          <w:tcPr>
            <w:tcW w:w="2551" w:type="dxa"/>
          </w:tcPr>
          <w:p w:rsidR="00716F9C" w:rsidRPr="002E171F" w:rsidRDefault="00716F9C" w:rsidP="00853CD0">
            <w:pPr>
              <w:jc w:val="center"/>
              <w:cnfStyle w:val="00000001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15.8</w:t>
            </w:r>
          </w:p>
        </w:tc>
        <w:tc>
          <w:tcPr>
            <w:tcW w:w="1985" w:type="dxa"/>
          </w:tcPr>
          <w:p w:rsidR="00716F9C" w:rsidRPr="002E171F" w:rsidRDefault="00716F9C" w:rsidP="00853CD0">
            <w:pPr>
              <w:jc w:val="center"/>
              <w:cnfStyle w:val="00000001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14.8</w:t>
            </w:r>
          </w:p>
        </w:tc>
        <w:tc>
          <w:tcPr>
            <w:tcW w:w="2268" w:type="dxa"/>
          </w:tcPr>
          <w:p w:rsidR="00716F9C" w:rsidRPr="002E171F" w:rsidRDefault="00716F9C" w:rsidP="00853CD0">
            <w:pPr>
              <w:jc w:val="center"/>
              <w:cnfStyle w:val="00000001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15.9</w:t>
            </w:r>
          </w:p>
        </w:tc>
      </w:tr>
      <w:tr w:rsidR="00716F9C" w:rsidRPr="002E171F" w:rsidTr="00853CD0">
        <w:trPr>
          <w:cnfStyle w:val="000000100000"/>
        </w:trPr>
        <w:tc>
          <w:tcPr>
            <w:cnfStyle w:val="001000000000"/>
            <w:tcW w:w="2660" w:type="dxa"/>
          </w:tcPr>
          <w:p w:rsidR="00716F9C" w:rsidRPr="002E171F" w:rsidRDefault="00716F9C" w:rsidP="004A1441">
            <w:pPr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National</w:t>
            </w:r>
          </w:p>
          <w:p w:rsidR="00716F9C" w:rsidRPr="002E171F" w:rsidRDefault="00716F9C" w:rsidP="004A1441">
            <w:pPr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Average</w:t>
            </w:r>
          </w:p>
        </w:tc>
        <w:tc>
          <w:tcPr>
            <w:tcW w:w="2551" w:type="dxa"/>
          </w:tcPr>
          <w:p w:rsidR="00716F9C" w:rsidRPr="002E171F" w:rsidRDefault="00716F9C" w:rsidP="00853CD0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16.5</w:t>
            </w:r>
          </w:p>
        </w:tc>
        <w:tc>
          <w:tcPr>
            <w:tcW w:w="1985" w:type="dxa"/>
          </w:tcPr>
          <w:p w:rsidR="00716F9C" w:rsidRPr="002E171F" w:rsidRDefault="00716F9C" w:rsidP="00853CD0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15.1</w:t>
            </w:r>
          </w:p>
        </w:tc>
        <w:tc>
          <w:tcPr>
            <w:tcW w:w="2268" w:type="dxa"/>
          </w:tcPr>
          <w:p w:rsidR="00716F9C" w:rsidRPr="002E171F" w:rsidRDefault="00716F9C" w:rsidP="00853CD0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16.2</w:t>
            </w:r>
          </w:p>
        </w:tc>
      </w:tr>
      <w:tr w:rsidR="00716F9C" w:rsidRPr="002E171F" w:rsidTr="00853CD0">
        <w:trPr>
          <w:cnfStyle w:val="000000010000"/>
        </w:trPr>
        <w:tc>
          <w:tcPr>
            <w:cnfStyle w:val="001000000000"/>
            <w:tcW w:w="2660" w:type="dxa"/>
          </w:tcPr>
          <w:p w:rsidR="00716F9C" w:rsidRPr="002E171F" w:rsidRDefault="00716F9C" w:rsidP="004A1441">
            <w:pPr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School gap with all pupils nationally</w:t>
            </w:r>
          </w:p>
        </w:tc>
        <w:tc>
          <w:tcPr>
            <w:tcW w:w="2551" w:type="dxa"/>
          </w:tcPr>
          <w:p w:rsidR="00716F9C" w:rsidRPr="002E171F" w:rsidRDefault="00716F9C" w:rsidP="00853CD0">
            <w:pPr>
              <w:jc w:val="center"/>
              <w:cnfStyle w:val="00000001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-0.7</w:t>
            </w:r>
          </w:p>
        </w:tc>
        <w:tc>
          <w:tcPr>
            <w:tcW w:w="1985" w:type="dxa"/>
          </w:tcPr>
          <w:p w:rsidR="00716F9C" w:rsidRPr="002E171F" w:rsidRDefault="00716F9C" w:rsidP="00853CD0">
            <w:pPr>
              <w:jc w:val="center"/>
              <w:cnfStyle w:val="00000001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-0.3</w:t>
            </w:r>
          </w:p>
        </w:tc>
        <w:tc>
          <w:tcPr>
            <w:tcW w:w="2268" w:type="dxa"/>
          </w:tcPr>
          <w:p w:rsidR="00716F9C" w:rsidRPr="002E171F" w:rsidRDefault="00716F9C" w:rsidP="00853CD0">
            <w:pPr>
              <w:jc w:val="center"/>
              <w:cnfStyle w:val="00000001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-0.3</w:t>
            </w:r>
          </w:p>
          <w:p w:rsidR="00716F9C" w:rsidRPr="002E171F" w:rsidRDefault="00716F9C" w:rsidP="00853CD0">
            <w:pPr>
              <w:jc w:val="center"/>
              <w:cnfStyle w:val="0000000100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6F9C" w:rsidRPr="002E171F" w:rsidTr="00853CD0">
        <w:trPr>
          <w:cnfStyle w:val="000000100000"/>
        </w:trPr>
        <w:tc>
          <w:tcPr>
            <w:cnfStyle w:val="001000000000"/>
            <w:tcW w:w="2660" w:type="dxa"/>
          </w:tcPr>
          <w:p w:rsidR="00716F9C" w:rsidRPr="002E171F" w:rsidRDefault="00716F9C" w:rsidP="004A1441">
            <w:pPr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Gap between PP pupils nationally and all pupils nationally</w:t>
            </w:r>
          </w:p>
        </w:tc>
        <w:tc>
          <w:tcPr>
            <w:tcW w:w="2551" w:type="dxa"/>
          </w:tcPr>
          <w:p w:rsidR="00716F9C" w:rsidRPr="002E171F" w:rsidRDefault="00716F9C" w:rsidP="00853CD0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-1.5</w:t>
            </w:r>
          </w:p>
        </w:tc>
        <w:tc>
          <w:tcPr>
            <w:tcW w:w="1985" w:type="dxa"/>
          </w:tcPr>
          <w:p w:rsidR="00716F9C" w:rsidRPr="002E171F" w:rsidRDefault="00716F9C" w:rsidP="00853CD0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-1.4</w:t>
            </w:r>
          </w:p>
        </w:tc>
        <w:tc>
          <w:tcPr>
            <w:tcW w:w="2268" w:type="dxa"/>
          </w:tcPr>
          <w:p w:rsidR="00716F9C" w:rsidRPr="002E171F" w:rsidRDefault="00716F9C" w:rsidP="00853CD0">
            <w:pPr>
              <w:jc w:val="center"/>
              <w:cnfStyle w:val="000000100000"/>
              <w:rPr>
                <w:rFonts w:ascii="Arial" w:hAnsi="Arial" w:cs="Arial"/>
                <w:sz w:val="22"/>
                <w:szCs w:val="22"/>
              </w:rPr>
            </w:pPr>
            <w:r w:rsidRPr="002E171F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</w:tr>
    </w:tbl>
    <w:p w:rsidR="00D82D4A" w:rsidRDefault="00D82D4A" w:rsidP="00D82D4A">
      <w:pPr>
        <w:rPr>
          <w:rFonts w:ascii="Arial" w:hAnsi="Arial" w:cs="Arial"/>
          <w:b/>
          <w:szCs w:val="24"/>
          <w:u w:val="single"/>
        </w:rPr>
      </w:pPr>
    </w:p>
    <w:p w:rsidR="00D82D4A" w:rsidRPr="002E171F" w:rsidRDefault="00D82D4A" w:rsidP="00D82D4A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How did we do?</w:t>
      </w:r>
    </w:p>
    <w:p w:rsidR="00D82D4A" w:rsidRPr="00C63395" w:rsidRDefault="00D82D4A" w:rsidP="00D82D4A">
      <w:pPr>
        <w:rPr>
          <w:rFonts w:ascii="Arial" w:hAnsi="Arial" w:cs="Arial"/>
          <w:b/>
          <w:sz w:val="22"/>
          <w:szCs w:val="22"/>
          <w:u w:val="single"/>
        </w:rPr>
      </w:pPr>
      <w:r w:rsidRPr="00C63395">
        <w:rPr>
          <w:rFonts w:ascii="Arial" w:hAnsi="Arial" w:cs="Arial"/>
          <w:b/>
          <w:sz w:val="22"/>
          <w:szCs w:val="22"/>
          <w:u w:val="single"/>
        </w:rPr>
        <w:t>Reading:</w:t>
      </w:r>
    </w:p>
    <w:p w:rsidR="00D82D4A" w:rsidRDefault="00D82D4A" w:rsidP="00D82D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 r</w:t>
      </w:r>
      <w:r w:rsidRPr="002E171F">
        <w:rPr>
          <w:rFonts w:ascii="Arial" w:hAnsi="Arial" w:cs="Arial"/>
          <w:sz w:val="22"/>
          <w:szCs w:val="22"/>
        </w:rPr>
        <w:t>eading</w:t>
      </w:r>
      <w:r>
        <w:rPr>
          <w:rFonts w:ascii="Arial" w:hAnsi="Arial" w:cs="Arial"/>
          <w:sz w:val="22"/>
          <w:szCs w:val="22"/>
        </w:rPr>
        <w:t xml:space="preserve"> results show an</w:t>
      </w:r>
      <w:r w:rsidR="00EA7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in-</w:t>
      </w:r>
      <w:r w:rsidRPr="002E171F">
        <w:rPr>
          <w:rFonts w:ascii="Arial" w:hAnsi="Arial" w:cs="Arial"/>
          <w:sz w:val="22"/>
          <w:szCs w:val="22"/>
        </w:rPr>
        <w:t xml:space="preserve">school </w:t>
      </w:r>
      <w:r>
        <w:rPr>
          <w:rFonts w:ascii="Arial" w:hAnsi="Arial" w:cs="Arial"/>
          <w:sz w:val="22"/>
          <w:szCs w:val="22"/>
        </w:rPr>
        <w:t xml:space="preserve">gap (this is the difference between pupil premium pupils and non pupil premium pupils). </w:t>
      </w:r>
    </w:p>
    <w:p w:rsidR="00D82D4A" w:rsidRDefault="00D82D4A" w:rsidP="002E171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2014 our pupil premium pupils in reading performed approx. 3</w:t>
      </w:r>
      <w:r w:rsidRPr="002E171F">
        <w:rPr>
          <w:rFonts w:ascii="Arial" w:hAnsi="Arial" w:cs="Arial"/>
          <w:sz w:val="22"/>
          <w:szCs w:val="22"/>
        </w:rPr>
        <w:t xml:space="preserve"> months behind a</w:t>
      </w:r>
      <w:r>
        <w:rPr>
          <w:rFonts w:ascii="Arial" w:hAnsi="Arial" w:cs="Arial"/>
          <w:sz w:val="22"/>
          <w:szCs w:val="22"/>
        </w:rPr>
        <w:t>ll pupils nationally. In reading across the country pupil premium</w:t>
      </w:r>
      <w:r w:rsidRPr="002E171F">
        <w:rPr>
          <w:rFonts w:ascii="Arial" w:hAnsi="Arial" w:cs="Arial"/>
          <w:sz w:val="22"/>
          <w:szCs w:val="22"/>
        </w:rPr>
        <w:t xml:space="preserve"> pupils perfo</w:t>
      </w:r>
      <w:r>
        <w:rPr>
          <w:rFonts w:ascii="Arial" w:hAnsi="Arial" w:cs="Arial"/>
          <w:sz w:val="22"/>
          <w:szCs w:val="22"/>
        </w:rPr>
        <w:t>rm 6</w:t>
      </w:r>
      <w:r w:rsidRPr="002E171F">
        <w:rPr>
          <w:rFonts w:ascii="Arial" w:hAnsi="Arial" w:cs="Arial"/>
          <w:sz w:val="22"/>
          <w:szCs w:val="22"/>
        </w:rPr>
        <w:t xml:space="preserve"> months </w:t>
      </w:r>
      <w:r>
        <w:rPr>
          <w:rFonts w:ascii="Arial" w:hAnsi="Arial" w:cs="Arial"/>
          <w:sz w:val="22"/>
          <w:szCs w:val="22"/>
        </w:rPr>
        <w:t>behind all pupils nationally. Therefore English Martyrs Primary is</w:t>
      </w:r>
      <w:r w:rsidRPr="002E171F">
        <w:rPr>
          <w:rFonts w:ascii="Arial" w:hAnsi="Arial" w:cs="Arial"/>
          <w:sz w:val="22"/>
          <w:szCs w:val="22"/>
        </w:rPr>
        <w:t xml:space="preserve"> still performing better than all schools nationally</w:t>
      </w:r>
    </w:p>
    <w:p w:rsidR="00D82D4A" w:rsidRPr="00C63395" w:rsidRDefault="00716F9C" w:rsidP="002E171F">
      <w:pPr>
        <w:rPr>
          <w:rFonts w:ascii="Arial" w:hAnsi="Arial" w:cs="Arial"/>
          <w:b/>
          <w:sz w:val="22"/>
          <w:szCs w:val="22"/>
          <w:u w:val="single"/>
        </w:rPr>
      </w:pPr>
      <w:r w:rsidRPr="00C63395">
        <w:rPr>
          <w:rFonts w:ascii="Arial" w:hAnsi="Arial" w:cs="Arial"/>
          <w:b/>
          <w:sz w:val="22"/>
          <w:szCs w:val="22"/>
          <w:u w:val="single"/>
        </w:rPr>
        <w:t>Writing:</w:t>
      </w:r>
    </w:p>
    <w:p w:rsidR="00716F9C" w:rsidRDefault="00716F9C" w:rsidP="00716F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 writing results show an</w:t>
      </w:r>
      <w:r w:rsidR="00EA7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in-</w:t>
      </w:r>
      <w:r w:rsidRPr="002E171F">
        <w:rPr>
          <w:rFonts w:ascii="Arial" w:hAnsi="Arial" w:cs="Arial"/>
          <w:sz w:val="22"/>
          <w:szCs w:val="22"/>
        </w:rPr>
        <w:t xml:space="preserve">school </w:t>
      </w:r>
      <w:r>
        <w:rPr>
          <w:rFonts w:ascii="Arial" w:hAnsi="Arial" w:cs="Arial"/>
          <w:sz w:val="22"/>
          <w:szCs w:val="22"/>
        </w:rPr>
        <w:t xml:space="preserve">gap (this is the difference between pupil premium pupils and non pupil premium pupils). </w:t>
      </w:r>
    </w:p>
    <w:p w:rsidR="00716F9C" w:rsidRDefault="00716F9C" w:rsidP="00716F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2014 our pupil premium pupils in writing performed approx. 1 month</w:t>
      </w:r>
      <w:r w:rsidRPr="002E171F">
        <w:rPr>
          <w:rFonts w:ascii="Arial" w:hAnsi="Arial" w:cs="Arial"/>
          <w:sz w:val="22"/>
          <w:szCs w:val="22"/>
        </w:rPr>
        <w:t xml:space="preserve"> behind a</w:t>
      </w:r>
      <w:r w:rsidR="00B17672">
        <w:rPr>
          <w:rFonts w:ascii="Arial" w:hAnsi="Arial" w:cs="Arial"/>
          <w:sz w:val="22"/>
          <w:szCs w:val="22"/>
        </w:rPr>
        <w:t>ll pupils nationally. In writing</w:t>
      </w:r>
      <w:r>
        <w:rPr>
          <w:rFonts w:ascii="Arial" w:hAnsi="Arial" w:cs="Arial"/>
          <w:sz w:val="22"/>
          <w:szCs w:val="22"/>
        </w:rPr>
        <w:t xml:space="preserve"> across the country pupil premium</w:t>
      </w:r>
      <w:r w:rsidRPr="002E171F">
        <w:rPr>
          <w:rFonts w:ascii="Arial" w:hAnsi="Arial" w:cs="Arial"/>
          <w:sz w:val="22"/>
          <w:szCs w:val="22"/>
        </w:rPr>
        <w:t xml:space="preserve"> pupils perfo</w:t>
      </w:r>
      <w:r>
        <w:rPr>
          <w:rFonts w:ascii="Arial" w:hAnsi="Arial" w:cs="Arial"/>
          <w:sz w:val="22"/>
          <w:szCs w:val="22"/>
        </w:rPr>
        <w:t>rm 6</w:t>
      </w:r>
      <w:r w:rsidRPr="002E171F">
        <w:rPr>
          <w:rFonts w:ascii="Arial" w:hAnsi="Arial" w:cs="Arial"/>
          <w:sz w:val="22"/>
          <w:szCs w:val="22"/>
        </w:rPr>
        <w:t xml:space="preserve"> months </w:t>
      </w:r>
      <w:r>
        <w:rPr>
          <w:rFonts w:ascii="Arial" w:hAnsi="Arial" w:cs="Arial"/>
          <w:sz w:val="22"/>
          <w:szCs w:val="22"/>
        </w:rPr>
        <w:t>behind all pupils nationally. Therefore English Martyrs Primary is</w:t>
      </w:r>
      <w:r w:rsidRPr="002E171F">
        <w:rPr>
          <w:rFonts w:ascii="Arial" w:hAnsi="Arial" w:cs="Arial"/>
          <w:sz w:val="22"/>
          <w:szCs w:val="22"/>
        </w:rPr>
        <w:t xml:space="preserve"> still performing better than all schools nationally</w:t>
      </w:r>
    </w:p>
    <w:p w:rsidR="002E171F" w:rsidRPr="00C63395" w:rsidRDefault="00716F9C" w:rsidP="002E171F">
      <w:pPr>
        <w:rPr>
          <w:rFonts w:ascii="Arial" w:hAnsi="Arial" w:cs="Arial"/>
          <w:b/>
          <w:sz w:val="22"/>
          <w:szCs w:val="22"/>
          <w:u w:val="single"/>
        </w:rPr>
      </w:pPr>
      <w:r w:rsidRPr="00C63395">
        <w:rPr>
          <w:rFonts w:ascii="Arial" w:hAnsi="Arial" w:cs="Arial"/>
          <w:b/>
          <w:sz w:val="22"/>
          <w:szCs w:val="22"/>
          <w:u w:val="single"/>
        </w:rPr>
        <w:lastRenderedPageBreak/>
        <w:t>Mathematics:</w:t>
      </w:r>
    </w:p>
    <w:p w:rsidR="00716F9C" w:rsidRDefault="00716F9C" w:rsidP="00716F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 mathematics results show an</w:t>
      </w:r>
      <w:r w:rsidR="00EA73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in-</w:t>
      </w:r>
      <w:r w:rsidRPr="002E171F">
        <w:rPr>
          <w:rFonts w:ascii="Arial" w:hAnsi="Arial" w:cs="Arial"/>
          <w:sz w:val="22"/>
          <w:szCs w:val="22"/>
        </w:rPr>
        <w:t xml:space="preserve">school </w:t>
      </w:r>
      <w:r>
        <w:rPr>
          <w:rFonts w:ascii="Arial" w:hAnsi="Arial" w:cs="Arial"/>
          <w:sz w:val="22"/>
          <w:szCs w:val="22"/>
        </w:rPr>
        <w:t xml:space="preserve">gap (this is the difference between pupil premium pupils and non pupil premium pupils). </w:t>
      </w:r>
    </w:p>
    <w:p w:rsidR="00716F9C" w:rsidRDefault="00716F9C" w:rsidP="00716F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2014 our pupil premium pupils in math</w:t>
      </w:r>
      <w:r w:rsidR="00EA730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matics performed approx. 1 month</w:t>
      </w:r>
      <w:r w:rsidRPr="002E171F">
        <w:rPr>
          <w:rFonts w:ascii="Arial" w:hAnsi="Arial" w:cs="Arial"/>
          <w:sz w:val="22"/>
          <w:szCs w:val="22"/>
        </w:rPr>
        <w:t xml:space="preserve"> behind a</w:t>
      </w:r>
      <w:r w:rsidR="00B17672">
        <w:rPr>
          <w:rFonts w:ascii="Arial" w:hAnsi="Arial" w:cs="Arial"/>
          <w:sz w:val="22"/>
          <w:szCs w:val="22"/>
        </w:rPr>
        <w:t>ll pupils nationally. In mathematics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across the country pupil premium</w:t>
      </w:r>
      <w:r w:rsidRPr="002E171F">
        <w:rPr>
          <w:rFonts w:ascii="Arial" w:hAnsi="Arial" w:cs="Arial"/>
          <w:sz w:val="22"/>
          <w:szCs w:val="22"/>
        </w:rPr>
        <w:t xml:space="preserve"> pupils perfo</w:t>
      </w:r>
      <w:r>
        <w:rPr>
          <w:rFonts w:ascii="Arial" w:hAnsi="Arial" w:cs="Arial"/>
          <w:sz w:val="22"/>
          <w:szCs w:val="22"/>
        </w:rPr>
        <w:t>rm 5</w:t>
      </w:r>
      <w:r w:rsidRPr="002E171F">
        <w:rPr>
          <w:rFonts w:ascii="Arial" w:hAnsi="Arial" w:cs="Arial"/>
          <w:sz w:val="22"/>
          <w:szCs w:val="22"/>
        </w:rPr>
        <w:t xml:space="preserve"> months </w:t>
      </w:r>
      <w:r>
        <w:rPr>
          <w:rFonts w:ascii="Arial" w:hAnsi="Arial" w:cs="Arial"/>
          <w:sz w:val="22"/>
          <w:szCs w:val="22"/>
        </w:rPr>
        <w:t>behind all pupils nationally. Therefore English Martyrs Primary is</w:t>
      </w:r>
      <w:r w:rsidRPr="002E171F">
        <w:rPr>
          <w:rFonts w:ascii="Arial" w:hAnsi="Arial" w:cs="Arial"/>
          <w:sz w:val="22"/>
          <w:szCs w:val="22"/>
        </w:rPr>
        <w:t xml:space="preserve"> still performing better than all schools nationally</w:t>
      </w:r>
    </w:p>
    <w:p w:rsidR="00716F9C" w:rsidRDefault="00716F9C" w:rsidP="002E171F">
      <w:pPr>
        <w:rPr>
          <w:rFonts w:ascii="Arial" w:hAnsi="Arial" w:cs="Arial"/>
          <w:sz w:val="22"/>
          <w:szCs w:val="22"/>
        </w:rPr>
      </w:pPr>
    </w:p>
    <w:p w:rsidR="003C5E0C" w:rsidRPr="002E171F" w:rsidRDefault="00716F9C" w:rsidP="00716F9C">
      <w:pPr>
        <w:jc w:val="center"/>
        <w:rPr>
          <w:rFonts w:ascii="Arial" w:hAnsi="Arial" w:cs="Arial"/>
          <w:sz w:val="22"/>
          <w:szCs w:val="22"/>
        </w:rPr>
      </w:pPr>
      <w:r w:rsidRPr="00716F9C">
        <w:rPr>
          <w:rFonts w:ascii="Arial" w:hAnsi="Arial" w:cs="Arial"/>
          <w:b/>
          <w:szCs w:val="24"/>
        </w:rPr>
        <w:t xml:space="preserve">Our results for 2015 will be posted onto the website in the </w:t>
      </w:r>
      <w:proofErr w:type="gramStart"/>
      <w:r w:rsidRPr="00716F9C">
        <w:rPr>
          <w:rFonts w:ascii="Arial" w:hAnsi="Arial" w:cs="Arial"/>
          <w:b/>
          <w:szCs w:val="24"/>
        </w:rPr>
        <w:t>Autumn</w:t>
      </w:r>
      <w:proofErr w:type="gramEnd"/>
      <w:r w:rsidRPr="00716F9C">
        <w:rPr>
          <w:rFonts w:ascii="Arial" w:hAnsi="Arial" w:cs="Arial"/>
          <w:b/>
          <w:szCs w:val="24"/>
        </w:rPr>
        <w:t xml:space="preserve"> term following the publication of </w:t>
      </w:r>
      <w:r>
        <w:rPr>
          <w:rFonts w:ascii="Arial" w:hAnsi="Arial" w:cs="Arial"/>
          <w:b/>
          <w:szCs w:val="24"/>
        </w:rPr>
        <w:t>national data from the Department for Education (</w:t>
      </w:r>
      <w:proofErr w:type="spellStart"/>
      <w:r>
        <w:rPr>
          <w:rFonts w:ascii="Arial" w:hAnsi="Arial" w:cs="Arial"/>
          <w:b/>
          <w:szCs w:val="24"/>
        </w:rPr>
        <w:t>DfE</w:t>
      </w:r>
      <w:proofErr w:type="spellEnd"/>
      <w:r>
        <w:rPr>
          <w:rFonts w:ascii="Arial" w:hAnsi="Arial" w:cs="Arial"/>
          <w:b/>
          <w:szCs w:val="24"/>
        </w:rPr>
        <w:t>)</w:t>
      </w:r>
    </w:p>
    <w:sectPr w:rsidR="003C5E0C" w:rsidRPr="002E171F" w:rsidSect="00EA7307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F5F"/>
    <w:multiLevelType w:val="hybridMultilevel"/>
    <w:tmpl w:val="0FC690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E18"/>
    <w:multiLevelType w:val="hybridMultilevel"/>
    <w:tmpl w:val="D85C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346D4"/>
    <w:multiLevelType w:val="hybridMultilevel"/>
    <w:tmpl w:val="01B2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20"/>
  <w:characterSpacingControl w:val="doNotCompress"/>
  <w:compat/>
  <w:rsids>
    <w:rsidRoot w:val="00B573DA"/>
    <w:rsid w:val="00083561"/>
    <w:rsid w:val="000E483B"/>
    <w:rsid w:val="000F3098"/>
    <w:rsid w:val="001F2DBE"/>
    <w:rsid w:val="001F58F8"/>
    <w:rsid w:val="002E171F"/>
    <w:rsid w:val="003C5E0C"/>
    <w:rsid w:val="003D19BC"/>
    <w:rsid w:val="004200F0"/>
    <w:rsid w:val="00457F1A"/>
    <w:rsid w:val="004A1441"/>
    <w:rsid w:val="004A7A0B"/>
    <w:rsid w:val="005B4574"/>
    <w:rsid w:val="005C337F"/>
    <w:rsid w:val="005E43F6"/>
    <w:rsid w:val="00673725"/>
    <w:rsid w:val="00716F9C"/>
    <w:rsid w:val="007B2F23"/>
    <w:rsid w:val="0084687F"/>
    <w:rsid w:val="00853CD0"/>
    <w:rsid w:val="00881BA1"/>
    <w:rsid w:val="008F02A7"/>
    <w:rsid w:val="00A74D80"/>
    <w:rsid w:val="00AA6084"/>
    <w:rsid w:val="00AD20AA"/>
    <w:rsid w:val="00B12FAD"/>
    <w:rsid w:val="00B17672"/>
    <w:rsid w:val="00B573DA"/>
    <w:rsid w:val="00BA4155"/>
    <w:rsid w:val="00C63395"/>
    <w:rsid w:val="00D82D4A"/>
    <w:rsid w:val="00DA733D"/>
    <w:rsid w:val="00DF661C"/>
    <w:rsid w:val="00E00652"/>
    <w:rsid w:val="00E11134"/>
    <w:rsid w:val="00E770A2"/>
    <w:rsid w:val="00EA7307"/>
    <w:rsid w:val="00EE358F"/>
    <w:rsid w:val="00FF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171F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0E4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0E48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0E48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2-Accent5">
    <w:name w:val="Medium Grid 2 Accent 5"/>
    <w:basedOn w:val="TableNormal"/>
    <w:uiPriority w:val="68"/>
    <w:rsid w:val="000E48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E48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E48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E48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E48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4">
    <w:name w:val="Light Grid Accent 4"/>
    <w:basedOn w:val="TableNormal"/>
    <w:uiPriority w:val="62"/>
    <w:rsid w:val="000E4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0E4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0E4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1-Accent1">
    <w:name w:val="Medium Grid 1 Accent 1"/>
    <w:basedOn w:val="TableNormal"/>
    <w:uiPriority w:val="67"/>
    <w:rsid w:val="000E4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2-Accent4">
    <w:name w:val="Medium List 2 Accent 4"/>
    <w:basedOn w:val="TableNormal"/>
    <w:uiPriority w:val="66"/>
    <w:rsid w:val="000E48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0E48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Grid-Accent5">
    <w:name w:val="Light Grid Accent 5"/>
    <w:basedOn w:val="TableNormal"/>
    <w:uiPriority w:val="62"/>
    <w:rsid w:val="000E4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171F"/>
    <w:pPr>
      <w:ind w:left="720"/>
      <w:contextualSpacing/>
    </w:pPr>
  </w:style>
  <w:style w:type="table" w:styleId="LightGrid-Accent2">
    <w:name w:val="Light Grid Accent 2"/>
    <w:basedOn w:val="TableNormal"/>
    <w:uiPriority w:val="62"/>
    <w:rsid w:val="000E4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0E48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0E48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2-Accent5">
    <w:name w:val="Medium Grid 2 Accent 5"/>
    <w:basedOn w:val="TableNormal"/>
    <w:uiPriority w:val="68"/>
    <w:rsid w:val="000E48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E48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E48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E48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E48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4">
    <w:name w:val="Light Grid Accent 4"/>
    <w:basedOn w:val="TableNormal"/>
    <w:uiPriority w:val="62"/>
    <w:rsid w:val="000E4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1">
    <w:name w:val="Light Grid Accent 1"/>
    <w:basedOn w:val="TableNormal"/>
    <w:uiPriority w:val="62"/>
    <w:rsid w:val="000E4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0E4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1-Accent1">
    <w:name w:val="Medium Grid 1 Accent 1"/>
    <w:basedOn w:val="TableNormal"/>
    <w:uiPriority w:val="67"/>
    <w:rsid w:val="000E4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2-Accent4">
    <w:name w:val="Medium List 2 Accent 4"/>
    <w:basedOn w:val="TableNormal"/>
    <w:uiPriority w:val="66"/>
    <w:rsid w:val="000E483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0E48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Grid-Accent5">
    <w:name w:val="Light Grid Accent 5"/>
    <w:basedOn w:val="TableNormal"/>
    <w:uiPriority w:val="62"/>
    <w:rsid w:val="000E48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7C51E7-6C5F-4F49-92FC-14C25B3A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Martyrs RC School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jmintram</dc:creator>
  <cp:lastModifiedBy>jmintram</cp:lastModifiedBy>
  <cp:revision>4</cp:revision>
  <dcterms:created xsi:type="dcterms:W3CDTF">2015-08-31T17:50:00Z</dcterms:created>
  <dcterms:modified xsi:type="dcterms:W3CDTF">2015-08-31T17:53:00Z</dcterms:modified>
</cp:coreProperties>
</file>